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BD" w:rsidRPr="00B4014D" w:rsidRDefault="00072100" w:rsidP="00F901A0">
      <w:pPr>
        <w:pStyle w:val="Nagwek1"/>
        <w:spacing w:before="61" w:line="276" w:lineRule="auto"/>
        <w:ind w:left="0" w:right="1305"/>
        <w:jc w:val="center"/>
        <w:rPr>
          <w:sz w:val="24"/>
          <w:szCs w:val="24"/>
        </w:rPr>
      </w:pPr>
      <w:r w:rsidRPr="00B4014D">
        <w:rPr>
          <w:sz w:val="24"/>
          <w:szCs w:val="24"/>
        </w:rPr>
        <w:t>OGŁOSZENIE</w:t>
      </w:r>
    </w:p>
    <w:p w:rsidR="004C39BD" w:rsidRPr="00B4014D" w:rsidRDefault="004C39BD" w:rsidP="00F901A0">
      <w:pPr>
        <w:pStyle w:val="Tekstpodstawowy"/>
        <w:spacing w:before="4" w:line="276" w:lineRule="auto"/>
        <w:jc w:val="center"/>
        <w:rPr>
          <w:b/>
          <w:sz w:val="24"/>
          <w:szCs w:val="24"/>
        </w:rPr>
      </w:pPr>
    </w:p>
    <w:p w:rsidR="009150F7" w:rsidRPr="00B4014D" w:rsidRDefault="00072100" w:rsidP="001F3418">
      <w:pPr>
        <w:pStyle w:val="Tekstpodstawowy"/>
        <w:spacing w:line="276" w:lineRule="auto"/>
        <w:ind w:right="3"/>
        <w:jc w:val="center"/>
        <w:rPr>
          <w:b/>
          <w:sz w:val="24"/>
          <w:szCs w:val="24"/>
        </w:rPr>
      </w:pPr>
      <w:r w:rsidRPr="00B4014D">
        <w:rPr>
          <w:b/>
          <w:sz w:val="24"/>
          <w:szCs w:val="24"/>
        </w:rPr>
        <w:t xml:space="preserve">Dyrektor </w:t>
      </w:r>
      <w:r w:rsidR="00F01D27" w:rsidRPr="00B4014D">
        <w:rPr>
          <w:b/>
          <w:sz w:val="24"/>
          <w:szCs w:val="24"/>
        </w:rPr>
        <w:t>Centrum Badań Molekularnych i Makromolekularnych</w:t>
      </w:r>
      <w:r w:rsidRPr="00B4014D">
        <w:rPr>
          <w:b/>
          <w:sz w:val="24"/>
          <w:szCs w:val="24"/>
        </w:rPr>
        <w:t xml:space="preserve"> PAN</w:t>
      </w:r>
    </w:p>
    <w:p w:rsidR="009150F7" w:rsidRPr="00B4014D" w:rsidRDefault="00072100" w:rsidP="001F3418">
      <w:pPr>
        <w:pStyle w:val="Tekstpodstawowy"/>
        <w:spacing w:line="276" w:lineRule="auto"/>
        <w:ind w:right="3"/>
        <w:jc w:val="center"/>
        <w:rPr>
          <w:sz w:val="24"/>
          <w:szCs w:val="24"/>
        </w:rPr>
      </w:pPr>
      <w:r w:rsidRPr="00B4014D">
        <w:rPr>
          <w:sz w:val="24"/>
          <w:szCs w:val="24"/>
        </w:rPr>
        <w:t>stosownie do treści art. 76 ustawy z 30 kwietnia 2010 r. o Polskiej Akademii Nauk</w:t>
      </w:r>
      <w:r w:rsidR="009150F7" w:rsidRPr="00B4014D">
        <w:rPr>
          <w:sz w:val="24"/>
          <w:szCs w:val="24"/>
        </w:rPr>
        <w:t xml:space="preserve"> </w:t>
      </w:r>
      <w:r w:rsidR="001F3418">
        <w:rPr>
          <w:sz w:val="24"/>
          <w:szCs w:val="24"/>
        </w:rPr>
        <w:br/>
      </w:r>
      <w:r w:rsidRPr="00B4014D">
        <w:rPr>
          <w:sz w:val="24"/>
          <w:szCs w:val="24"/>
        </w:rPr>
        <w:t>(</w:t>
      </w:r>
      <w:proofErr w:type="spellStart"/>
      <w:r w:rsidRPr="00B4014D">
        <w:rPr>
          <w:sz w:val="24"/>
          <w:szCs w:val="24"/>
        </w:rPr>
        <w:t>t.j</w:t>
      </w:r>
      <w:proofErr w:type="spellEnd"/>
      <w:r w:rsidRPr="00B4014D">
        <w:rPr>
          <w:sz w:val="24"/>
          <w:szCs w:val="24"/>
        </w:rPr>
        <w:t>. Dz.U. z 2020 poz. 1796)</w:t>
      </w:r>
      <w:r w:rsidR="009150F7" w:rsidRPr="00B4014D">
        <w:rPr>
          <w:sz w:val="24"/>
          <w:szCs w:val="24"/>
        </w:rPr>
        <w:t xml:space="preserve"> </w:t>
      </w:r>
      <w:r w:rsidR="00522E1A" w:rsidRPr="00B4014D">
        <w:rPr>
          <w:sz w:val="24"/>
          <w:szCs w:val="24"/>
        </w:rPr>
        <w:t xml:space="preserve">w związku z §13 i nast. rozporządzeniem Rady Ministrów </w:t>
      </w:r>
      <w:r w:rsidR="001F3418">
        <w:rPr>
          <w:sz w:val="24"/>
          <w:szCs w:val="24"/>
        </w:rPr>
        <w:br/>
      </w:r>
      <w:r w:rsidR="00522E1A" w:rsidRPr="00B4014D">
        <w:rPr>
          <w:sz w:val="24"/>
          <w:szCs w:val="24"/>
        </w:rPr>
        <w:t xml:space="preserve">z dnia 14 września 2004 r. w sprawie sposobu i trybu przeprowadzania przetargów </w:t>
      </w:r>
      <w:r w:rsidR="001F3418">
        <w:rPr>
          <w:sz w:val="24"/>
          <w:szCs w:val="24"/>
        </w:rPr>
        <w:br/>
      </w:r>
      <w:r w:rsidR="00522E1A" w:rsidRPr="00B4014D">
        <w:rPr>
          <w:sz w:val="24"/>
          <w:szCs w:val="24"/>
        </w:rPr>
        <w:t>oraz rokowań na zbycie nieruchomości</w:t>
      </w:r>
    </w:p>
    <w:p w:rsidR="004C39BD" w:rsidRDefault="009150F7" w:rsidP="001F3418">
      <w:pPr>
        <w:pStyle w:val="Tekstpodstawowy"/>
        <w:spacing w:line="276" w:lineRule="auto"/>
        <w:ind w:right="3"/>
        <w:jc w:val="center"/>
        <w:rPr>
          <w:b/>
          <w:sz w:val="24"/>
          <w:szCs w:val="24"/>
        </w:rPr>
      </w:pPr>
      <w:r w:rsidRPr="00B4014D">
        <w:rPr>
          <w:b/>
          <w:sz w:val="24"/>
          <w:szCs w:val="24"/>
        </w:rPr>
        <w:t>o</w:t>
      </w:r>
      <w:r w:rsidR="00072100" w:rsidRPr="00B4014D">
        <w:rPr>
          <w:b/>
          <w:sz w:val="24"/>
          <w:szCs w:val="24"/>
        </w:rPr>
        <w:t>głasza</w:t>
      </w:r>
      <w:r w:rsidRPr="00B4014D">
        <w:rPr>
          <w:b/>
          <w:sz w:val="24"/>
          <w:szCs w:val="24"/>
        </w:rPr>
        <w:t xml:space="preserve"> </w:t>
      </w:r>
      <w:r w:rsidR="00072100" w:rsidRPr="00B4014D">
        <w:rPr>
          <w:b/>
          <w:sz w:val="24"/>
          <w:szCs w:val="24"/>
        </w:rPr>
        <w:t xml:space="preserve">przetarg ustny nieograniczony na wynajem </w:t>
      </w:r>
      <w:r w:rsidR="00D21C5E" w:rsidRPr="00B4014D">
        <w:rPr>
          <w:b/>
          <w:sz w:val="24"/>
          <w:szCs w:val="24"/>
        </w:rPr>
        <w:t>pomieszczeń</w:t>
      </w:r>
    </w:p>
    <w:p w:rsidR="008519F7" w:rsidRPr="00B4014D" w:rsidRDefault="008519F7" w:rsidP="001F3418">
      <w:pPr>
        <w:pStyle w:val="Tekstpodstawowy"/>
        <w:spacing w:line="276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ref. postępowania TZ/28-U/2/24</w:t>
      </w:r>
    </w:p>
    <w:p w:rsidR="004C39BD" w:rsidRPr="00B4014D" w:rsidRDefault="004C39BD" w:rsidP="00F901A0">
      <w:pPr>
        <w:pStyle w:val="Tekstpodstawowy"/>
        <w:spacing w:line="276" w:lineRule="auto"/>
        <w:rPr>
          <w:sz w:val="24"/>
          <w:szCs w:val="24"/>
        </w:rPr>
      </w:pPr>
    </w:p>
    <w:p w:rsidR="004C39BD" w:rsidRPr="00B4014D" w:rsidRDefault="004C39BD" w:rsidP="00F901A0">
      <w:pPr>
        <w:pStyle w:val="Tekstpodstawowy"/>
        <w:spacing w:before="2" w:line="276" w:lineRule="auto"/>
        <w:rPr>
          <w:sz w:val="24"/>
          <w:szCs w:val="24"/>
        </w:rPr>
      </w:pPr>
    </w:p>
    <w:p w:rsidR="00B4014D" w:rsidRPr="00B4014D" w:rsidRDefault="00B4014D" w:rsidP="00F901A0">
      <w:pPr>
        <w:pStyle w:val="Nagwek1"/>
        <w:spacing w:line="276" w:lineRule="auto"/>
        <w:ind w:left="0"/>
        <w:rPr>
          <w:sz w:val="24"/>
          <w:szCs w:val="24"/>
        </w:rPr>
      </w:pPr>
    </w:p>
    <w:p w:rsidR="004C39BD" w:rsidRPr="00B4014D" w:rsidRDefault="00072100" w:rsidP="00F901A0">
      <w:pPr>
        <w:pStyle w:val="Nagwek1"/>
        <w:spacing w:line="276" w:lineRule="auto"/>
        <w:ind w:left="0"/>
        <w:rPr>
          <w:sz w:val="24"/>
          <w:szCs w:val="24"/>
        </w:rPr>
      </w:pPr>
      <w:r w:rsidRPr="00B4014D">
        <w:rPr>
          <w:sz w:val="24"/>
          <w:szCs w:val="24"/>
        </w:rPr>
        <w:t>PRZEDMIOT NAJMU</w:t>
      </w:r>
    </w:p>
    <w:p w:rsidR="00D21C5E" w:rsidRPr="00B4014D" w:rsidRDefault="00F01D27" w:rsidP="00BD781D">
      <w:pPr>
        <w:pStyle w:val="Akapitzlist"/>
        <w:numPr>
          <w:ilvl w:val="0"/>
          <w:numId w:val="1"/>
        </w:numPr>
        <w:tabs>
          <w:tab w:val="left" w:pos="284"/>
        </w:tabs>
        <w:spacing w:before="67" w:line="276" w:lineRule="auto"/>
        <w:ind w:left="0" w:right="3" w:firstLine="0"/>
        <w:rPr>
          <w:sz w:val="24"/>
          <w:szCs w:val="24"/>
        </w:rPr>
      </w:pPr>
      <w:r w:rsidRPr="00B4014D">
        <w:rPr>
          <w:sz w:val="24"/>
          <w:szCs w:val="24"/>
        </w:rPr>
        <w:t>P</w:t>
      </w:r>
      <w:r w:rsidR="00072100" w:rsidRPr="00B4014D">
        <w:rPr>
          <w:sz w:val="24"/>
          <w:szCs w:val="24"/>
        </w:rPr>
        <w:t>omieszczenia</w:t>
      </w:r>
      <w:r w:rsidR="00D21C5E" w:rsidRPr="00B4014D">
        <w:rPr>
          <w:sz w:val="24"/>
          <w:szCs w:val="24"/>
        </w:rPr>
        <w:t xml:space="preserve"> </w:t>
      </w:r>
      <w:r w:rsidR="00072100" w:rsidRPr="00B4014D">
        <w:rPr>
          <w:sz w:val="24"/>
          <w:szCs w:val="24"/>
        </w:rPr>
        <w:t>(wraz ze znajdującą się w nich instalacją do syntezy chemicznej</w:t>
      </w:r>
      <w:r w:rsidR="00522E1A" w:rsidRPr="00B4014D">
        <w:rPr>
          <w:sz w:val="24"/>
          <w:szCs w:val="24"/>
        </w:rPr>
        <w:t xml:space="preserve"> będącą własnością strony trzeciej*</w:t>
      </w:r>
      <w:r w:rsidR="00072100" w:rsidRPr="00B4014D">
        <w:rPr>
          <w:sz w:val="24"/>
          <w:szCs w:val="24"/>
        </w:rPr>
        <w:t xml:space="preserve">), o łącznej powierzchni </w:t>
      </w:r>
      <w:r w:rsidR="00E61288" w:rsidRPr="00B4014D">
        <w:rPr>
          <w:sz w:val="24"/>
          <w:szCs w:val="24"/>
        </w:rPr>
        <w:t>313,27 m</w:t>
      </w:r>
      <w:r w:rsidR="00E61288" w:rsidRPr="00B4014D">
        <w:rPr>
          <w:sz w:val="24"/>
          <w:szCs w:val="24"/>
          <w:vertAlign w:val="superscript"/>
        </w:rPr>
        <w:t>2</w:t>
      </w:r>
      <w:r w:rsidR="00072100" w:rsidRPr="00B4014D">
        <w:rPr>
          <w:sz w:val="24"/>
          <w:szCs w:val="24"/>
        </w:rPr>
        <w:t xml:space="preserve"> </w:t>
      </w:r>
      <w:r w:rsidR="00D21C5E" w:rsidRPr="00B4014D">
        <w:rPr>
          <w:sz w:val="24"/>
          <w:szCs w:val="24"/>
        </w:rPr>
        <w:t>-</w:t>
      </w:r>
      <w:r w:rsidR="00072100" w:rsidRPr="00B4014D">
        <w:rPr>
          <w:sz w:val="24"/>
          <w:szCs w:val="24"/>
        </w:rPr>
        <w:t xml:space="preserve"> </w:t>
      </w:r>
      <w:r w:rsidR="00D21C5E" w:rsidRPr="00B4014D">
        <w:rPr>
          <w:sz w:val="24"/>
          <w:szCs w:val="24"/>
        </w:rPr>
        <w:t xml:space="preserve">wg </w:t>
      </w:r>
      <w:r w:rsidR="00072100" w:rsidRPr="00B4014D">
        <w:rPr>
          <w:sz w:val="24"/>
          <w:szCs w:val="24"/>
        </w:rPr>
        <w:t xml:space="preserve">zestawienia w załączniku 1, zlokalizowane na parterze </w:t>
      </w:r>
      <w:r w:rsidRPr="00B4014D">
        <w:rPr>
          <w:sz w:val="24"/>
          <w:szCs w:val="24"/>
        </w:rPr>
        <w:t>budynku warsztatowo-laboratoryjnego „D" –</w:t>
      </w:r>
      <w:r w:rsidR="003114D0" w:rsidRPr="00B4014D">
        <w:rPr>
          <w:sz w:val="24"/>
          <w:szCs w:val="24"/>
        </w:rPr>
        <w:t xml:space="preserve"> </w:t>
      </w:r>
      <w:r w:rsidRPr="00B4014D">
        <w:rPr>
          <w:sz w:val="24"/>
          <w:szCs w:val="24"/>
        </w:rPr>
        <w:t xml:space="preserve">położonego w Łodzi przy </w:t>
      </w:r>
      <w:r w:rsidRPr="00B4014D">
        <w:rPr>
          <w:color w:val="000000"/>
          <w:sz w:val="24"/>
          <w:szCs w:val="24"/>
        </w:rPr>
        <w:t xml:space="preserve">ul. </w:t>
      </w:r>
      <w:r w:rsidR="00E61288" w:rsidRPr="00B4014D">
        <w:rPr>
          <w:color w:val="000000"/>
          <w:sz w:val="24"/>
          <w:szCs w:val="24"/>
        </w:rPr>
        <w:t>Tylnej 1</w:t>
      </w:r>
      <w:r w:rsidR="00072100" w:rsidRPr="00B4014D">
        <w:rPr>
          <w:sz w:val="24"/>
          <w:szCs w:val="24"/>
        </w:rPr>
        <w:t xml:space="preserve">. </w:t>
      </w:r>
    </w:p>
    <w:p w:rsidR="00D21C5E" w:rsidRPr="00B4014D" w:rsidRDefault="00D21C5E" w:rsidP="00BD781D">
      <w:pPr>
        <w:pStyle w:val="Akapitzlist"/>
        <w:numPr>
          <w:ilvl w:val="0"/>
          <w:numId w:val="1"/>
        </w:numPr>
        <w:tabs>
          <w:tab w:val="left" w:pos="284"/>
        </w:tabs>
        <w:spacing w:before="67" w:line="276" w:lineRule="auto"/>
        <w:ind w:left="0" w:right="3" w:firstLine="0"/>
        <w:rPr>
          <w:sz w:val="24"/>
          <w:szCs w:val="24"/>
        </w:rPr>
      </w:pPr>
      <w:r w:rsidRPr="00B4014D">
        <w:rPr>
          <w:sz w:val="24"/>
          <w:szCs w:val="24"/>
        </w:rPr>
        <w:t>Budynek „D” jest posadowiony na dział</w:t>
      </w:r>
      <w:r w:rsidR="00E61288" w:rsidRPr="00B4014D">
        <w:rPr>
          <w:sz w:val="24"/>
          <w:szCs w:val="24"/>
        </w:rPr>
        <w:t>ce</w:t>
      </w:r>
      <w:r w:rsidRPr="00B4014D">
        <w:rPr>
          <w:sz w:val="24"/>
          <w:szCs w:val="24"/>
        </w:rPr>
        <w:t xml:space="preserve"> gruntu o nr 95/64 w obrębie S-9 ewidencji gruntów w Łodzi.</w:t>
      </w:r>
    </w:p>
    <w:p w:rsidR="00D21C5E" w:rsidRPr="00B4014D" w:rsidRDefault="00F01D27" w:rsidP="00F901A0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276" w:lineRule="auto"/>
        <w:ind w:left="0" w:right="72" w:firstLine="0"/>
        <w:contextualSpacing/>
        <w:rPr>
          <w:sz w:val="24"/>
          <w:szCs w:val="24"/>
        </w:rPr>
      </w:pPr>
      <w:r w:rsidRPr="00B4014D">
        <w:rPr>
          <w:sz w:val="24"/>
          <w:szCs w:val="24"/>
        </w:rPr>
        <w:t>Centrum Badań Molekularnych i Makromolekularnych PAN</w:t>
      </w:r>
      <w:r w:rsidRPr="00B4014D">
        <w:rPr>
          <w:color w:val="000000"/>
          <w:sz w:val="24"/>
          <w:szCs w:val="24"/>
        </w:rPr>
        <w:t xml:space="preserve"> jest właścicielem </w:t>
      </w:r>
      <w:r w:rsidR="003114D0" w:rsidRPr="00B4014D">
        <w:rPr>
          <w:color w:val="000000"/>
          <w:sz w:val="24"/>
          <w:szCs w:val="24"/>
        </w:rPr>
        <w:t>budynku „D”</w:t>
      </w:r>
      <w:r w:rsidRPr="00B4014D">
        <w:rPr>
          <w:color w:val="000000"/>
          <w:sz w:val="24"/>
          <w:szCs w:val="24"/>
        </w:rPr>
        <w:t xml:space="preserve"> na podstawie Decyzji Nr 100/M/2014 Prezesa PAN.</w:t>
      </w:r>
    </w:p>
    <w:p w:rsidR="00396AAB" w:rsidRPr="00396AAB" w:rsidRDefault="00F01D27" w:rsidP="00396AAB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276" w:lineRule="auto"/>
        <w:ind w:left="0" w:right="72" w:firstLine="0"/>
        <w:contextualSpacing/>
        <w:rPr>
          <w:sz w:val="24"/>
          <w:szCs w:val="24"/>
        </w:rPr>
      </w:pPr>
      <w:r w:rsidRPr="00B4014D">
        <w:rPr>
          <w:sz w:val="24"/>
          <w:szCs w:val="24"/>
        </w:rPr>
        <w:t>Centrum Badań Molekularnych i Makromolekularnych PAN</w:t>
      </w:r>
      <w:r w:rsidR="00D21C5E" w:rsidRPr="00B4014D">
        <w:rPr>
          <w:sz w:val="24"/>
          <w:szCs w:val="24"/>
        </w:rPr>
        <w:t xml:space="preserve"> jest użytkownikiem wieczystym </w:t>
      </w:r>
      <w:proofErr w:type="spellStart"/>
      <w:r w:rsidR="00D21C5E" w:rsidRPr="00B4014D">
        <w:rPr>
          <w:sz w:val="24"/>
          <w:szCs w:val="24"/>
        </w:rPr>
        <w:t>ww</w:t>
      </w:r>
      <w:proofErr w:type="spellEnd"/>
      <w:r w:rsidR="00D21C5E" w:rsidRPr="00B4014D">
        <w:rPr>
          <w:sz w:val="24"/>
          <w:szCs w:val="24"/>
        </w:rPr>
        <w:t xml:space="preserve"> </w:t>
      </w:r>
      <w:r w:rsidR="00D21C5E" w:rsidRPr="00396AAB">
        <w:rPr>
          <w:sz w:val="24"/>
          <w:szCs w:val="24"/>
        </w:rPr>
        <w:t>gruntu, dla którego założona jest księga wieczysta KW LD1M/00116219/8 w Sądzie Rejonowym w Łodzi na mocy Decyzji Nr 100/M/2014 Prezesa PAN.</w:t>
      </w:r>
    </w:p>
    <w:p w:rsidR="00236ABC" w:rsidRPr="00396AAB" w:rsidRDefault="00236ABC" w:rsidP="00396AAB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276" w:lineRule="auto"/>
        <w:ind w:left="0" w:right="72" w:firstLine="0"/>
        <w:contextualSpacing/>
        <w:rPr>
          <w:sz w:val="24"/>
          <w:szCs w:val="24"/>
        </w:rPr>
      </w:pPr>
      <w:r w:rsidRPr="00396AAB">
        <w:rPr>
          <w:rFonts w:eastAsiaTheme="minorHAnsi"/>
          <w:color w:val="000000"/>
          <w:sz w:val="24"/>
          <w:szCs w:val="24"/>
        </w:rPr>
        <w:t>Dział IV wyżej opisanej księgi wieczystej zawiera wpis</w:t>
      </w:r>
      <w:r w:rsidR="00396AAB" w:rsidRPr="00396AAB">
        <w:rPr>
          <w:rFonts w:eastAsiaTheme="minorHAnsi"/>
          <w:color w:val="000000"/>
          <w:sz w:val="24"/>
          <w:szCs w:val="24"/>
        </w:rPr>
        <w:t xml:space="preserve"> hipoteki umownej.</w:t>
      </w:r>
      <w:r w:rsidRPr="00396AAB">
        <w:rPr>
          <w:rFonts w:eastAsiaTheme="minorHAnsi"/>
          <w:color w:val="000000"/>
          <w:sz w:val="24"/>
          <w:szCs w:val="24"/>
        </w:rPr>
        <w:t xml:space="preserve"> </w:t>
      </w:r>
    </w:p>
    <w:p w:rsidR="004C39BD" w:rsidRPr="00396AAB" w:rsidRDefault="00072100" w:rsidP="00F901A0">
      <w:pPr>
        <w:pStyle w:val="Akapitzlist"/>
        <w:numPr>
          <w:ilvl w:val="0"/>
          <w:numId w:val="1"/>
        </w:numPr>
        <w:tabs>
          <w:tab w:val="left" w:pos="284"/>
        </w:tabs>
        <w:spacing w:before="50" w:line="276" w:lineRule="auto"/>
        <w:ind w:left="0" w:firstLine="0"/>
        <w:jc w:val="left"/>
        <w:rPr>
          <w:sz w:val="24"/>
          <w:szCs w:val="24"/>
        </w:rPr>
      </w:pPr>
      <w:r w:rsidRPr="00396AAB">
        <w:rPr>
          <w:sz w:val="24"/>
          <w:szCs w:val="24"/>
        </w:rPr>
        <w:t>Okres najmu: 180 dni</w:t>
      </w:r>
      <w:r w:rsidR="00226CBA" w:rsidRPr="00396AAB">
        <w:rPr>
          <w:sz w:val="24"/>
          <w:szCs w:val="24"/>
        </w:rPr>
        <w:t xml:space="preserve"> z możliwością wydłużenia pod warunkiem uzyskania zgody Prezesa PAN.</w:t>
      </w:r>
    </w:p>
    <w:p w:rsidR="004C39BD" w:rsidRPr="00B4014D" w:rsidRDefault="00072100" w:rsidP="00F901A0">
      <w:pPr>
        <w:pStyle w:val="Akapitzlist"/>
        <w:numPr>
          <w:ilvl w:val="0"/>
          <w:numId w:val="1"/>
        </w:numPr>
        <w:tabs>
          <w:tab w:val="left" w:pos="284"/>
        </w:tabs>
        <w:spacing w:before="47" w:line="276" w:lineRule="auto"/>
        <w:ind w:left="0" w:firstLine="0"/>
        <w:jc w:val="left"/>
        <w:rPr>
          <w:sz w:val="24"/>
          <w:szCs w:val="24"/>
        </w:rPr>
      </w:pPr>
      <w:r w:rsidRPr="00B4014D">
        <w:rPr>
          <w:sz w:val="24"/>
          <w:szCs w:val="24"/>
        </w:rPr>
        <w:t xml:space="preserve">Termin wypowiedzenia </w:t>
      </w:r>
      <w:r w:rsidR="00226CBA" w:rsidRPr="00B4014D">
        <w:rPr>
          <w:sz w:val="24"/>
          <w:szCs w:val="24"/>
        </w:rPr>
        <w:t>–</w:t>
      </w:r>
      <w:r w:rsidRPr="00B4014D">
        <w:rPr>
          <w:sz w:val="24"/>
          <w:szCs w:val="24"/>
        </w:rPr>
        <w:t xml:space="preserve"> </w:t>
      </w:r>
      <w:r w:rsidR="00226CBA" w:rsidRPr="00B4014D">
        <w:rPr>
          <w:sz w:val="24"/>
          <w:szCs w:val="24"/>
        </w:rPr>
        <w:t xml:space="preserve">odpowiednio </w:t>
      </w:r>
      <w:r w:rsidRPr="00B4014D">
        <w:rPr>
          <w:sz w:val="24"/>
          <w:szCs w:val="24"/>
        </w:rPr>
        <w:t>jeden</w:t>
      </w:r>
      <w:r w:rsidR="00226CBA" w:rsidRPr="00B4014D">
        <w:rPr>
          <w:sz w:val="24"/>
          <w:szCs w:val="24"/>
        </w:rPr>
        <w:t xml:space="preserve"> </w:t>
      </w:r>
      <w:r w:rsidR="00522E1A" w:rsidRPr="00B4014D">
        <w:rPr>
          <w:sz w:val="24"/>
          <w:szCs w:val="24"/>
        </w:rPr>
        <w:t>(przy umowie na 180 dni</w:t>
      </w:r>
      <w:r w:rsidR="00076908" w:rsidRPr="00B4014D">
        <w:rPr>
          <w:sz w:val="24"/>
          <w:szCs w:val="24"/>
        </w:rPr>
        <w:t xml:space="preserve">) </w:t>
      </w:r>
      <w:r w:rsidR="00226CBA" w:rsidRPr="00B4014D">
        <w:rPr>
          <w:sz w:val="24"/>
          <w:szCs w:val="24"/>
        </w:rPr>
        <w:t xml:space="preserve">lub </w:t>
      </w:r>
      <w:r w:rsidR="004556CE" w:rsidRPr="00B4014D">
        <w:rPr>
          <w:sz w:val="24"/>
          <w:szCs w:val="24"/>
        </w:rPr>
        <w:t>sześć</w:t>
      </w:r>
      <w:r w:rsidRPr="00B4014D">
        <w:rPr>
          <w:sz w:val="24"/>
          <w:szCs w:val="24"/>
        </w:rPr>
        <w:t xml:space="preserve"> miesi</w:t>
      </w:r>
      <w:r w:rsidR="004556CE" w:rsidRPr="00B4014D">
        <w:rPr>
          <w:sz w:val="24"/>
          <w:szCs w:val="24"/>
        </w:rPr>
        <w:t>ęcy</w:t>
      </w:r>
      <w:r w:rsidR="00076908" w:rsidRPr="00B4014D">
        <w:rPr>
          <w:sz w:val="24"/>
          <w:szCs w:val="24"/>
        </w:rPr>
        <w:t xml:space="preserve"> (przy umowie na okres dłuższy niż 180 dni pod warunkiem </w:t>
      </w:r>
      <w:proofErr w:type="spellStart"/>
      <w:r w:rsidR="00076908" w:rsidRPr="00B4014D">
        <w:rPr>
          <w:sz w:val="24"/>
          <w:szCs w:val="24"/>
        </w:rPr>
        <w:t>j.w</w:t>
      </w:r>
      <w:proofErr w:type="spellEnd"/>
      <w:r w:rsidR="00076908" w:rsidRPr="00B4014D">
        <w:rPr>
          <w:sz w:val="24"/>
          <w:szCs w:val="24"/>
        </w:rPr>
        <w:t>.)</w:t>
      </w:r>
      <w:r w:rsidRPr="00B4014D">
        <w:rPr>
          <w:sz w:val="24"/>
          <w:szCs w:val="24"/>
        </w:rPr>
        <w:t>.</w:t>
      </w:r>
    </w:p>
    <w:p w:rsidR="00B4014D" w:rsidRPr="00B4014D" w:rsidRDefault="00B4014D" w:rsidP="00F901A0">
      <w:pPr>
        <w:pStyle w:val="Nagwek1"/>
        <w:spacing w:line="276" w:lineRule="auto"/>
        <w:ind w:left="0"/>
        <w:rPr>
          <w:sz w:val="24"/>
          <w:szCs w:val="24"/>
        </w:rPr>
      </w:pPr>
    </w:p>
    <w:p w:rsidR="004C39BD" w:rsidRPr="00B4014D" w:rsidRDefault="00072100" w:rsidP="00F901A0">
      <w:pPr>
        <w:pStyle w:val="Nagwek1"/>
        <w:spacing w:line="276" w:lineRule="auto"/>
        <w:ind w:left="0"/>
        <w:rPr>
          <w:sz w:val="24"/>
          <w:szCs w:val="24"/>
        </w:rPr>
      </w:pPr>
      <w:r w:rsidRPr="00B4014D">
        <w:rPr>
          <w:sz w:val="24"/>
          <w:szCs w:val="24"/>
        </w:rPr>
        <w:t>PRZEZNACZENIE W MIEJSCOWYM PLANIE</w:t>
      </w:r>
    </w:p>
    <w:p w:rsidR="00137E2C" w:rsidRPr="00B4014D" w:rsidRDefault="00072100" w:rsidP="00F901A0">
      <w:pPr>
        <w:pStyle w:val="Default"/>
        <w:spacing w:line="276" w:lineRule="auto"/>
        <w:jc w:val="both"/>
      </w:pPr>
      <w:r w:rsidRPr="00B4014D">
        <w:t>Dla terenu, na którym zlokalizowana jest nieruchomość obowiązuje miejscowy plan zagospodarowania przestrzennego ustanowiony uchwałą nr L</w:t>
      </w:r>
      <w:r w:rsidR="00E61288" w:rsidRPr="00B4014D">
        <w:t>XV</w:t>
      </w:r>
      <w:r w:rsidRPr="00B4014D">
        <w:t>/1</w:t>
      </w:r>
      <w:r w:rsidR="00E61288" w:rsidRPr="00B4014D">
        <w:t>219</w:t>
      </w:r>
      <w:r w:rsidRPr="00B4014D">
        <w:t>/0</w:t>
      </w:r>
      <w:r w:rsidR="00E61288" w:rsidRPr="00B4014D">
        <w:t>6</w:t>
      </w:r>
      <w:r w:rsidRPr="00B4014D">
        <w:t xml:space="preserve"> Rady Miejskiej </w:t>
      </w:r>
      <w:r w:rsidR="00E61288" w:rsidRPr="00B4014D">
        <w:t xml:space="preserve">w Łodzi </w:t>
      </w:r>
      <w:r w:rsidRPr="00B4014D">
        <w:t xml:space="preserve"> </w:t>
      </w:r>
      <w:r w:rsidR="00B4014D" w:rsidRPr="00B4014D">
        <w:br/>
      </w:r>
      <w:r w:rsidRPr="00B4014D">
        <w:t xml:space="preserve">z dnia </w:t>
      </w:r>
      <w:r w:rsidR="00E61288" w:rsidRPr="00B4014D">
        <w:t>22 marca</w:t>
      </w:r>
      <w:r w:rsidRPr="00B4014D">
        <w:t xml:space="preserve"> 200</w:t>
      </w:r>
      <w:r w:rsidR="00E61288" w:rsidRPr="00B4014D">
        <w:t xml:space="preserve">6 </w:t>
      </w:r>
      <w:r w:rsidRPr="00B4014D">
        <w:t xml:space="preserve">r. w sprawie uchwalenia miejscowego planu zagospodarowania przestrzennego </w:t>
      </w:r>
      <w:r w:rsidR="00E61288" w:rsidRPr="00B4014D">
        <w:t>dla</w:t>
      </w:r>
      <w:r w:rsidRPr="00B4014D">
        <w:t xml:space="preserve"> części obszaru </w:t>
      </w:r>
      <w:r w:rsidR="00E61288" w:rsidRPr="00B4014D">
        <w:t>m</w:t>
      </w:r>
      <w:r w:rsidRPr="00B4014D">
        <w:t>iasta</w:t>
      </w:r>
      <w:r w:rsidR="00E61288" w:rsidRPr="00B4014D">
        <w:t xml:space="preserve"> Łodzi położonej w</w:t>
      </w:r>
      <w:r w:rsidRPr="00B4014D">
        <w:t xml:space="preserve"> rejon</w:t>
      </w:r>
      <w:r w:rsidR="00E61288" w:rsidRPr="00B4014D">
        <w:t>ie ulic</w:t>
      </w:r>
      <w:r w:rsidRPr="00B4014D">
        <w:t xml:space="preserve"> </w:t>
      </w:r>
      <w:r w:rsidR="00E61288" w:rsidRPr="00B4014D">
        <w:t>Sienkiewicza, Tylnej, Kilińskiego i ks. bp. W. Tymienieckiego.</w:t>
      </w:r>
      <w:r w:rsidRPr="00B4014D">
        <w:t xml:space="preserve"> Zgodnie z miejscowym planem zagospodarowania przestrzennego przedmiotowa nieruchomość znajduje się na terenach oznaczonych symbolem </w:t>
      </w:r>
      <w:r w:rsidR="00F27557" w:rsidRPr="00B4014D">
        <w:t xml:space="preserve">dla terenu oznaczonego na rysunku planu symbolem: UA(r)-U: tereny </w:t>
      </w:r>
      <w:r w:rsidR="00137E2C" w:rsidRPr="00B4014D">
        <w:t xml:space="preserve">do wykorzystania i zagospodarowania na cele funkcji </w:t>
      </w:r>
      <w:r w:rsidR="00F27557" w:rsidRPr="00B4014D">
        <w:t>usługow</w:t>
      </w:r>
      <w:r w:rsidR="00137E2C" w:rsidRPr="00B4014D">
        <w:t>ych</w:t>
      </w:r>
      <w:r w:rsidRPr="00B4014D">
        <w:t>.</w:t>
      </w:r>
      <w:r w:rsidR="00F27557" w:rsidRPr="00B4014D">
        <w:t xml:space="preserve"> </w:t>
      </w:r>
    </w:p>
    <w:p w:rsidR="004C39BD" w:rsidRPr="00B4014D" w:rsidRDefault="00F27557" w:rsidP="00F901A0">
      <w:pPr>
        <w:pStyle w:val="Default"/>
        <w:spacing w:line="276" w:lineRule="auto"/>
        <w:jc w:val="both"/>
      </w:pPr>
      <w:r w:rsidRPr="00B4014D">
        <w:t xml:space="preserve">W granicach terenów strefy UA(r) opisanej symbolem UA(r)-U obowiązuje zachowanie historycznych obrysów, gabarytów oraz historycznych rozwiązań architektonicznych </w:t>
      </w:r>
      <w:r w:rsidR="00B4014D" w:rsidRPr="00B4014D">
        <w:br/>
      </w:r>
      <w:r w:rsidRPr="00B4014D">
        <w:t>i materiałowych zabudowy objętej obszarowym wpisem do rejestru zabytków.</w:t>
      </w:r>
    </w:p>
    <w:p w:rsidR="00D21C5E" w:rsidRPr="00B4014D" w:rsidRDefault="00D21C5E" w:rsidP="00F901A0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B4014D" w:rsidRPr="00B4014D" w:rsidRDefault="00B4014D" w:rsidP="00F901A0">
      <w:pPr>
        <w:pStyle w:val="Nagwek1"/>
        <w:spacing w:line="276" w:lineRule="auto"/>
        <w:ind w:left="0"/>
        <w:rPr>
          <w:sz w:val="24"/>
          <w:szCs w:val="24"/>
        </w:rPr>
      </w:pPr>
    </w:p>
    <w:p w:rsidR="00B4014D" w:rsidRPr="00B4014D" w:rsidRDefault="00B4014D" w:rsidP="00F901A0">
      <w:pPr>
        <w:pStyle w:val="Nagwek1"/>
        <w:spacing w:line="276" w:lineRule="auto"/>
        <w:ind w:left="0"/>
        <w:rPr>
          <w:sz w:val="24"/>
          <w:szCs w:val="24"/>
        </w:rPr>
      </w:pPr>
    </w:p>
    <w:p w:rsidR="00BD781D" w:rsidRDefault="00BD781D" w:rsidP="00B4014D">
      <w:pPr>
        <w:pStyle w:val="Stopka"/>
      </w:pPr>
    </w:p>
    <w:p w:rsidR="00B4014D" w:rsidRDefault="00B4014D" w:rsidP="00B4014D">
      <w:pPr>
        <w:pStyle w:val="Stopka"/>
      </w:pPr>
      <w:r>
        <w:t>*do usunięcia na własny koszt</w:t>
      </w:r>
    </w:p>
    <w:p w:rsidR="004C39BD" w:rsidRPr="00B4014D" w:rsidRDefault="00072100" w:rsidP="00F901A0">
      <w:pPr>
        <w:pStyle w:val="Nagwek1"/>
        <w:spacing w:line="276" w:lineRule="auto"/>
        <w:ind w:left="0"/>
        <w:rPr>
          <w:sz w:val="24"/>
          <w:szCs w:val="24"/>
        </w:rPr>
      </w:pPr>
      <w:r w:rsidRPr="00B4014D">
        <w:rPr>
          <w:sz w:val="24"/>
          <w:szCs w:val="24"/>
        </w:rPr>
        <w:lastRenderedPageBreak/>
        <w:t>MIESIĘCZNY CZYNSZ WYWOŁAWCZY</w:t>
      </w:r>
    </w:p>
    <w:p w:rsidR="00137E2C" w:rsidRPr="00B4014D" w:rsidRDefault="00137E2C" w:rsidP="00F901A0">
      <w:pPr>
        <w:tabs>
          <w:tab w:val="left" w:pos="4364"/>
        </w:tabs>
        <w:spacing w:line="276" w:lineRule="auto"/>
        <w:rPr>
          <w:b/>
          <w:sz w:val="24"/>
          <w:szCs w:val="24"/>
        </w:rPr>
      </w:pPr>
      <w:r w:rsidRPr="00B4014D">
        <w:rPr>
          <w:b/>
          <w:sz w:val="24"/>
          <w:szCs w:val="24"/>
        </w:rPr>
        <w:t>Czynsz miesięczny wywoławczy:</w:t>
      </w:r>
      <w:r w:rsidRPr="00B4014D">
        <w:rPr>
          <w:b/>
          <w:sz w:val="24"/>
          <w:szCs w:val="24"/>
        </w:rPr>
        <w:tab/>
        <w:t>3</w:t>
      </w:r>
      <w:r w:rsidR="00076908" w:rsidRPr="00B4014D">
        <w:rPr>
          <w:b/>
          <w:sz w:val="24"/>
          <w:szCs w:val="24"/>
        </w:rPr>
        <w:t>6</w:t>
      </w:r>
      <w:r w:rsidRPr="00B4014D">
        <w:rPr>
          <w:b/>
          <w:sz w:val="24"/>
          <w:szCs w:val="24"/>
        </w:rPr>
        <w:t>.000,00 PLN</w:t>
      </w:r>
    </w:p>
    <w:p w:rsidR="00137E2C" w:rsidRPr="00B4014D" w:rsidRDefault="00137E2C" w:rsidP="00F901A0">
      <w:pPr>
        <w:pStyle w:val="Tekstpodstawowy"/>
        <w:spacing w:line="276" w:lineRule="auto"/>
        <w:rPr>
          <w:sz w:val="24"/>
          <w:szCs w:val="24"/>
        </w:rPr>
      </w:pPr>
      <w:r w:rsidRPr="00B4014D">
        <w:rPr>
          <w:sz w:val="24"/>
          <w:szCs w:val="24"/>
        </w:rPr>
        <w:t xml:space="preserve">(słownie: trzydzieści </w:t>
      </w:r>
      <w:r w:rsidR="009A5537">
        <w:rPr>
          <w:sz w:val="24"/>
          <w:szCs w:val="24"/>
        </w:rPr>
        <w:t>sześć</w:t>
      </w:r>
      <w:r w:rsidRPr="00B4014D">
        <w:rPr>
          <w:sz w:val="24"/>
          <w:szCs w:val="24"/>
        </w:rPr>
        <w:t xml:space="preserve"> tysięcy złotych)</w:t>
      </w:r>
    </w:p>
    <w:p w:rsidR="00137E2C" w:rsidRPr="00B4014D" w:rsidRDefault="00137E2C" w:rsidP="00F901A0">
      <w:pPr>
        <w:tabs>
          <w:tab w:val="left" w:pos="4554"/>
        </w:tabs>
        <w:spacing w:line="276" w:lineRule="auto"/>
        <w:rPr>
          <w:b/>
          <w:sz w:val="24"/>
          <w:szCs w:val="24"/>
        </w:rPr>
      </w:pPr>
      <w:r w:rsidRPr="00B4014D">
        <w:rPr>
          <w:b/>
          <w:sz w:val="24"/>
          <w:szCs w:val="24"/>
        </w:rPr>
        <w:t>Wysokość wadium:</w:t>
      </w:r>
      <w:r w:rsidRPr="00B4014D">
        <w:rPr>
          <w:b/>
          <w:sz w:val="24"/>
          <w:szCs w:val="24"/>
        </w:rPr>
        <w:tab/>
      </w:r>
      <w:r w:rsidR="00076908" w:rsidRPr="00B4014D">
        <w:rPr>
          <w:b/>
          <w:sz w:val="24"/>
          <w:szCs w:val="24"/>
        </w:rPr>
        <w:t>6</w:t>
      </w:r>
      <w:r w:rsidRPr="00B4014D">
        <w:rPr>
          <w:b/>
          <w:sz w:val="24"/>
          <w:szCs w:val="24"/>
        </w:rPr>
        <w:t>.000,00 PLN</w:t>
      </w:r>
    </w:p>
    <w:p w:rsidR="00137E2C" w:rsidRPr="00B4014D" w:rsidRDefault="00137E2C" w:rsidP="00F901A0">
      <w:pPr>
        <w:pStyle w:val="Tekstpodstawowy"/>
        <w:spacing w:line="276" w:lineRule="auto"/>
        <w:rPr>
          <w:sz w:val="24"/>
          <w:szCs w:val="24"/>
        </w:rPr>
      </w:pPr>
      <w:r w:rsidRPr="00B4014D">
        <w:rPr>
          <w:sz w:val="24"/>
          <w:szCs w:val="24"/>
        </w:rPr>
        <w:t xml:space="preserve">(słownie: </w:t>
      </w:r>
      <w:r w:rsidR="009A5537">
        <w:rPr>
          <w:sz w:val="24"/>
          <w:szCs w:val="24"/>
        </w:rPr>
        <w:t>sześć</w:t>
      </w:r>
      <w:r w:rsidRPr="00B4014D">
        <w:rPr>
          <w:sz w:val="24"/>
          <w:szCs w:val="24"/>
        </w:rPr>
        <w:t xml:space="preserve"> tysięcy złotych)</w:t>
      </w:r>
    </w:p>
    <w:p w:rsidR="00137E2C" w:rsidRPr="00B4014D" w:rsidRDefault="00137E2C" w:rsidP="00F901A0">
      <w:pPr>
        <w:tabs>
          <w:tab w:val="left" w:pos="4678"/>
        </w:tabs>
        <w:spacing w:line="276" w:lineRule="auto"/>
        <w:rPr>
          <w:b/>
          <w:sz w:val="24"/>
          <w:szCs w:val="24"/>
        </w:rPr>
      </w:pPr>
      <w:r w:rsidRPr="00B4014D">
        <w:rPr>
          <w:b/>
          <w:sz w:val="24"/>
          <w:szCs w:val="24"/>
        </w:rPr>
        <w:t>Minimalne postąpienie:</w:t>
      </w:r>
      <w:r w:rsidR="004556CE" w:rsidRPr="00B4014D">
        <w:rPr>
          <w:b/>
          <w:sz w:val="24"/>
          <w:szCs w:val="24"/>
        </w:rPr>
        <w:tab/>
      </w:r>
      <w:r w:rsidR="00076908" w:rsidRPr="00B4014D">
        <w:rPr>
          <w:b/>
          <w:sz w:val="24"/>
          <w:szCs w:val="24"/>
        </w:rPr>
        <w:t>3</w:t>
      </w:r>
      <w:r w:rsidRPr="00B4014D">
        <w:rPr>
          <w:b/>
          <w:sz w:val="24"/>
          <w:szCs w:val="24"/>
        </w:rPr>
        <w:t>000,00 PLN</w:t>
      </w:r>
    </w:p>
    <w:p w:rsidR="00137E2C" w:rsidRPr="00B4014D" w:rsidRDefault="00137E2C" w:rsidP="00F901A0">
      <w:pPr>
        <w:pStyle w:val="Tekstpodstawowy"/>
        <w:spacing w:line="276" w:lineRule="auto"/>
        <w:rPr>
          <w:sz w:val="24"/>
          <w:szCs w:val="24"/>
        </w:rPr>
      </w:pPr>
      <w:r w:rsidRPr="00B4014D">
        <w:rPr>
          <w:sz w:val="24"/>
          <w:szCs w:val="24"/>
        </w:rPr>
        <w:t xml:space="preserve">(słownie: </w:t>
      </w:r>
      <w:r w:rsidR="009A5537">
        <w:rPr>
          <w:sz w:val="24"/>
          <w:szCs w:val="24"/>
        </w:rPr>
        <w:t>trzy</w:t>
      </w:r>
      <w:r w:rsidRPr="00B4014D">
        <w:rPr>
          <w:sz w:val="24"/>
          <w:szCs w:val="24"/>
        </w:rPr>
        <w:t xml:space="preserve"> tysiąc</w:t>
      </w:r>
      <w:r w:rsidR="009A5537">
        <w:rPr>
          <w:sz w:val="24"/>
          <w:szCs w:val="24"/>
        </w:rPr>
        <w:t>e</w:t>
      </w:r>
      <w:bookmarkStart w:id="0" w:name="_GoBack"/>
      <w:bookmarkEnd w:id="0"/>
      <w:r w:rsidRPr="00B4014D">
        <w:rPr>
          <w:sz w:val="24"/>
          <w:szCs w:val="24"/>
        </w:rPr>
        <w:t xml:space="preserve"> złotych)</w:t>
      </w:r>
    </w:p>
    <w:p w:rsidR="00137E2C" w:rsidRPr="00B4014D" w:rsidRDefault="00137E2C" w:rsidP="00F901A0">
      <w:pPr>
        <w:pStyle w:val="Tekstpodstawowy"/>
        <w:spacing w:line="276" w:lineRule="auto"/>
        <w:rPr>
          <w:sz w:val="24"/>
          <w:szCs w:val="24"/>
        </w:rPr>
      </w:pPr>
    </w:p>
    <w:p w:rsidR="00137E2C" w:rsidRPr="00B4014D" w:rsidRDefault="00137E2C" w:rsidP="00F901A0">
      <w:pPr>
        <w:pStyle w:val="Tekstpodstawowy"/>
        <w:spacing w:line="276" w:lineRule="auto"/>
        <w:rPr>
          <w:sz w:val="24"/>
          <w:szCs w:val="24"/>
        </w:rPr>
      </w:pPr>
      <w:r w:rsidRPr="00B4014D">
        <w:rPr>
          <w:sz w:val="24"/>
          <w:szCs w:val="24"/>
        </w:rPr>
        <w:t>Przy czym wymagane jest co najmniej jedno postąpienie.</w:t>
      </w:r>
    </w:p>
    <w:p w:rsidR="00137E2C" w:rsidRPr="00B4014D" w:rsidRDefault="00137E2C" w:rsidP="00B4014D">
      <w:pPr>
        <w:pStyle w:val="Tekstpodstawowy"/>
        <w:spacing w:line="276" w:lineRule="auto"/>
        <w:jc w:val="both"/>
        <w:rPr>
          <w:sz w:val="24"/>
          <w:szCs w:val="24"/>
        </w:rPr>
      </w:pPr>
      <w:r w:rsidRPr="00B4014D">
        <w:rPr>
          <w:b/>
          <w:sz w:val="24"/>
          <w:szCs w:val="24"/>
        </w:rPr>
        <w:t>Podany czynsz wywoławczy nie zawiera podatku od towarów i usług, który to podatek należy doliczyć według aktualnej stawki VAT, na dzień przetargu wynosi ona 23%</w:t>
      </w:r>
      <w:r w:rsidRPr="00B4014D">
        <w:rPr>
          <w:sz w:val="24"/>
          <w:szCs w:val="24"/>
        </w:rPr>
        <w:t>.</w:t>
      </w:r>
    </w:p>
    <w:p w:rsidR="00137E2C" w:rsidRPr="00B4014D" w:rsidRDefault="00137E2C" w:rsidP="00B4014D">
      <w:pPr>
        <w:pStyle w:val="Tekstpodstawowy"/>
        <w:spacing w:line="276" w:lineRule="auto"/>
        <w:jc w:val="both"/>
        <w:rPr>
          <w:sz w:val="24"/>
          <w:szCs w:val="24"/>
        </w:rPr>
      </w:pPr>
      <w:r w:rsidRPr="00B4014D">
        <w:rPr>
          <w:sz w:val="24"/>
          <w:szCs w:val="24"/>
        </w:rPr>
        <w:t>W przypadku zmiany przepisów w tym zakresie do wylicytowanej kwoty netto będzie doliczony należny podatek VAT według obowiązującej stawki, bez konieczności zmiany zapisów umowy.</w:t>
      </w:r>
    </w:p>
    <w:p w:rsidR="00137E2C" w:rsidRPr="00B4014D" w:rsidRDefault="00137E2C" w:rsidP="00B4014D">
      <w:pPr>
        <w:spacing w:line="276" w:lineRule="auto"/>
        <w:ind w:right="116"/>
        <w:jc w:val="both"/>
        <w:rPr>
          <w:sz w:val="24"/>
          <w:szCs w:val="24"/>
        </w:rPr>
      </w:pPr>
      <w:r w:rsidRPr="00B4014D">
        <w:rPr>
          <w:sz w:val="24"/>
          <w:szCs w:val="24"/>
        </w:rPr>
        <w:t xml:space="preserve">Czynsz najmu będzie płacony </w:t>
      </w:r>
      <w:r w:rsidRPr="00B4014D">
        <w:rPr>
          <w:b/>
          <w:sz w:val="24"/>
          <w:szCs w:val="24"/>
        </w:rPr>
        <w:t>miesięcznie z góry</w:t>
      </w:r>
      <w:r w:rsidRPr="00B4014D">
        <w:rPr>
          <w:sz w:val="24"/>
          <w:szCs w:val="24"/>
        </w:rPr>
        <w:t xml:space="preserve">, na konto Centrum Badań Molekularnych </w:t>
      </w:r>
      <w:r w:rsidR="00B4014D" w:rsidRPr="00B4014D">
        <w:rPr>
          <w:sz w:val="24"/>
          <w:szCs w:val="24"/>
        </w:rPr>
        <w:br/>
      </w:r>
      <w:r w:rsidRPr="00B4014D">
        <w:rPr>
          <w:sz w:val="24"/>
          <w:szCs w:val="24"/>
        </w:rPr>
        <w:t>i Makromolekularnych Polskiej Akademii Nauk.</w:t>
      </w:r>
    </w:p>
    <w:p w:rsidR="00137E2C" w:rsidRPr="00B4014D" w:rsidRDefault="00137E2C" w:rsidP="00B4014D">
      <w:pPr>
        <w:spacing w:line="276" w:lineRule="auto"/>
        <w:ind w:right="116"/>
        <w:jc w:val="both"/>
        <w:rPr>
          <w:sz w:val="24"/>
          <w:szCs w:val="24"/>
        </w:rPr>
      </w:pPr>
      <w:r w:rsidRPr="00B4014D">
        <w:rPr>
          <w:b/>
          <w:sz w:val="24"/>
          <w:szCs w:val="24"/>
        </w:rPr>
        <w:t xml:space="preserve">Okres najmu – </w:t>
      </w:r>
      <w:r w:rsidRPr="00B4014D">
        <w:rPr>
          <w:sz w:val="24"/>
          <w:szCs w:val="24"/>
        </w:rPr>
        <w:t>180 dni z możliwością przedłużenia</w:t>
      </w:r>
      <w:r w:rsidR="00076908" w:rsidRPr="00B4014D">
        <w:rPr>
          <w:sz w:val="24"/>
          <w:szCs w:val="24"/>
        </w:rPr>
        <w:t xml:space="preserve"> wydłużenia pod warunkiem uzyskania zgody Prezesa PAN.</w:t>
      </w:r>
    </w:p>
    <w:p w:rsidR="00137E2C" w:rsidRPr="00B4014D" w:rsidRDefault="00137E2C" w:rsidP="00F901A0">
      <w:pPr>
        <w:pStyle w:val="Tekstpodstawowy"/>
        <w:spacing w:line="276" w:lineRule="auto"/>
        <w:rPr>
          <w:b/>
          <w:sz w:val="24"/>
          <w:szCs w:val="24"/>
        </w:rPr>
      </w:pPr>
    </w:p>
    <w:p w:rsidR="004C39BD" w:rsidRPr="00B4014D" w:rsidRDefault="004C39BD" w:rsidP="00F901A0">
      <w:pPr>
        <w:pStyle w:val="Tekstpodstawowy"/>
        <w:spacing w:before="4" w:line="276" w:lineRule="auto"/>
        <w:rPr>
          <w:sz w:val="24"/>
          <w:szCs w:val="24"/>
        </w:rPr>
      </w:pPr>
    </w:p>
    <w:p w:rsidR="004C39BD" w:rsidRPr="00B4014D" w:rsidRDefault="00072100" w:rsidP="00F901A0">
      <w:pPr>
        <w:pStyle w:val="Nagwek1"/>
        <w:spacing w:line="276" w:lineRule="auto"/>
        <w:ind w:left="0"/>
        <w:rPr>
          <w:sz w:val="24"/>
          <w:szCs w:val="24"/>
        </w:rPr>
      </w:pPr>
      <w:r w:rsidRPr="00B4014D">
        <w:rPr>
          <w:sz w:val="24"/>
          <w:szCs w:val="24"/>
        </w:rPr>
        <w:t>WARUNKI UDZIAŁU W PRZETARGU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Warunkiem udziału w przetargu jest wniesienie wadium w pieniądzu, w wysokości określonej </w:t>
      </w:r>
      <w:r w:rsidR="00076908" w:rsidRPr="00B4014D">
        <w:rPr>
          <w:sz w:val="24"/>
          <w:szCs w:val="24"/>
        </w:rPr>
        <w:t xml:space="preserve">powyżej </w:t>
      </w:r>
      <w:r w:rsidRPr="00B4014D">
        <w:rPr>
          <w:sz w:val="24"/>
          <w:szCs w:val="24"/>
        </w:rPr>
        <w:t xml:space="preserve">w ogłoszeniu, na rachunek Centrum Badań Molekularnych i Makromolekularnych Polskiej Akademii Nauk nr </w:t>
      </w:r>
      <w:r w:rsidR="009150F7" w:rsidRPr="00B4014D">
        <w:rPr>
          <w:bCs/>
          <w:sz w:val="24"/>
          <w:szCs w:val="24"/>
        </w:rPr>
        <w:t>16 1130 1163 0014 7147 3520 0007</w:t>
      </w:r>
      <w:r w:rsidRPr="00B4014D">
        <w:rPr>
          <w:sz w:val="24"/>
          <w:szCs w:val="24"/>
        </w:rPr>
        <w:t xml:space="preserve"> </w:t>
      </w:r>
      <w:r w:rsidRPr="00B4014D">
        <w:rPr>
          <w:b/>
          <w:sz w:val="24"/>
          <w:szCs w:val="24"/>
        </w:rPr>
        <w:t xml:space="preserve">do </w:t>
      </w:r>
      <w:r w:rsidR="00BD781D">
        <w:rPr>
          <w:b/>
          <w:sz w:val="24"/>
          <w:szCs w:val="24"/>
        </w:rPr>
        <w:t>12</w:t>
      </w:r>
      <w:r w:rsidR="004556CE" w:rsidRPr="00B4014D">
        <w:rPr>
          <w:b/>
          <w:sz w:val="24"/>
          <w:szCs w:val="24"/>
        </w:rPr>
        <w:t xml:space="preserve"> maja 2024</w:t>
      </w:r>
      <w:r w:rsidRPr="00B4014D">
        <w:rPr>
          <w:b/>
          <w:sz w:val="24"/>
          <w:szCs w:val="24"/>
        </w:rPr>
        <w:t xml:space="preserve"> roku</w:t>
      </w:r>
      <w:r w:rsidR="00311943">
        <w:rPr>
          <w:b/>
          <w:sz w:val="24"/>
          <w:szCs w:val="24"/>
        </w:rPr>
        <w:t xml:space="preserve"> do godz. 15.00</w:t>
      </w:r>
      <w:r w:rsidRPr="00B4014D">
        <w:rPr>
          <w:sz w:val="24"/>
          <w:szCs w:val="24"/>
        </w:rPr>
        <w:t xml:space="preserve">. </w:t>
      </w:r>
      <w:r w:rsidR="00B4014D" w:rsidRPr="00B4014D">
        <w:rPr>
          <w:sz w:val="24"/>
          <w:szCs w:val="24"/>
        </w:rPr>
        <w:br/>
      </w:r>
      <w:r w:rsidRPr="00B4014D">
        <w:rPr>
          <w:sz w:val="24"/>
          <w:szCs w:val="24"/>
        </w:rPr>
        <w:t xml:space="preserve">W tytule przelewu należy wskazać datę oraz przedmiot przetargu </w:t>
      </w:r>
      <w:proofErr w:type="spellStart"/>
      <w:r w:rsidRPr="00B4014D">
        <w:rPr>
          <w:sz w:val="24"/>
          <w:szCs w:val="24"/>
        </w:rPr>
        <w:t>tj</w:t>
      </w:r>
      <w:proofErr w:type="spellEnd"/>
      <w:r w:rsidRPr="00B4014D">
        <w:rPr>
          <w:sz w:val="24"/>
          <w:szCs w:val="24"/>
        </w:rPr>
        <w:t xml:space="preserve"> - „</w:t>
      </w:r>
      <w:r w:rsidR="004556CE" w:rsidRPr="00B4014D">
        <w:rPr>
          <w:sz w:val="24"/>
          <w:szCs w:val="24"/>
        </w:rPr>
        <w:t>1</w:t>
      </w:r>
      <w:r w:rsidR="00076908" w:rsidRPr="00B4014D">
        <w:rPr>
          <w:sz w:val="24"/>
          <w:szCs w:val="24"/>
        </w:rPr>
        <w:t>6</w:t>
      </w:r>
      <w:r w:rsidRPr="00B4014D">
        <w:rPr>
          <w:sz w:val="24"/>
          <w:szCs w:val="24"/>
        </w:rPr>
        <w:t>/0</w:t>
      </w:r>
      <w:r w:rsidR="004556CE" w:rsidRPr="00B4014D">
        <w:rPr>
          <w:sz w:val="24"/>
          <w:szCs w:val="24"/>
        </w:rPr>
        <w:t>5</w:t>
      </w:r>
      <w:r w:rsidRPr="00B4014D">
        <w:rPr>
          <w:sz w:val="24"/>
          <w:szCs w:val="24"/>
        </w:rPr>
        <w:t xml:space="preserve">/2024 – I przetarg ustny nieograniczony na najem pomieszczeń w budynku D </w:t>
      </w:r>
      <w:proofErr w:type="spellStart"/>
      <w:r w:rsidRPr="00B4014D">
        <w:rPr>
          <w:sz w:val="24"/>
          <w:szCs w:val="24"/>
        </w:rPr>
        <w:t>CBMiM</w:t>
      </w:r>
      <w:proofErr w:type="spellEnd"/>
      <w:r w:rsidRPr="00B4014D">
        <w:rPr>
          <w:sz w:val="24"/>
          <w:szCs w:val="24"/>
        </w:rPr>
        <w:t xml:space="preserve"> PAN w Łodzi przy ul. Tylnej 1”.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Za datę wpływu uważać się będzie wpływu wadium na konto </w:t>
      </w:r>
      <w:proofErr w:type="spellStart"/>
      <w:r w:rsidRPr="00B4014D">
        <w:rPr>
          <w:sz w:val="24"/>
          <w:szCs w:val="24"/>
        </w:rPr>
        <w:t>CBMiM</w:t>
      </w:r>
      <w:proofErr w:type="spellEnd"/>
      <w:r w:rsidRPr="00B4014D">
        <w:rPr>
          <w:sz w:val="24"/>
          <w:szCs w:val="24"/>
        </w:rPr>
        <w:t xml:space="preserve"> PAN. </w:t>
      </w:r>
      <w:r w:rsidR="00BD781D">
        <w:rPr>
          <w:sz w:val="24"/>
          <w:szCs w:val="24"/>
        </w:rPr>
        <w:t xml:space="preserve">Wadium wpłacone przez uczestnika, który wygra przetarg, zostanie zaliczone na poczet czynszu najmu. </w:t>
      </w:r>
      <w:r w:rsidRPr="00B4014D">
        <w:rPr>
          <w:sz w:val="24"/>
          <w:szCs w:val="24"/>
        </w:rPr>
        <w:t>Wadium zwraca się niezwłocznie (jednak nie później niż przed upływem 3 dni) po zamknięciu, odwołaniu,  unieważnieniu  lub  zakończeniu  przetargu  wynikiem negatywnym. Odwołanie przetargu, jego unieważnienie lub zamknięcie nie daje podstaw do naliczania odsetek od wpłaconego wadium.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>Przetarg jest ważny bez względu na liczbę uczestników, jeżeli chociaż jeden uczestnik zaoferował, co najmniej jedno postąpienie powyżej czynszu wywoławczego.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>Dyrektorowi Centrum Badań Molekularnych i Makromolekularnych Polskiej Akademii Nauk przysługuje prawo odwołania, unieważnienia lub zamknięcia przetargu bez podania przyczyny.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Przed przystąpieniem do przetargu oferent zobowiązany jest do zapoznania się z treścią: </w:t>
      </w:r>
      <w:r w:rsidR="00076908" w:rsidRPr="00B4014D">
        <w:rPr>
          <w:sz w:val="24"/>
          <w:szCs w:val="24"/>
        </w:rPr>
        <w:t>rozporządzeniem Rady Ministrów z dnia 14 września 2004 r. w sprawie sposobu i trybu przeprowadzania przetargów oraz rokowań na zbycie nieruchomości</w:t>
      </w:r>
      <w:r w:rsidRPr="00B4014D">
        <w:rPr>
          <w:sz w:val="24"/>
          <w:szCs w:val="24"/>
        </w:rPr>
        <w:t>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41" w:line="276" w:lineRule="auto"/>
        <w:ind w:left="0" w:right="111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Przed  przystąpieniem  do  przetargu  oferent  zobowiązany  jest do przedłożenia Komisji Przetargowej podpisanego Formularza Zgłoszenia udziału w przetargu w tym oświadczeń w nim zawartych oraz innych dokumentów wskazanych w </w:t>
      </w:r>
      <w:r w:rsidR="00076908" w:rsidRPr="00B4014D">
        <w:rPr>
          <w:sz w:val="24"/>
          <w:szCs w:val="24"/>
        </w:rPr>
        <w:t xml:space="preserve">rozporządzeniu Rady Ministrów z dnia </w:t>
      </w:r>
      <w:r w:rsidR="00B4014D">
        <w:rPr>
          <w:sz w:val="24"/>
          <w:szCs w:val="24"/>
        </w:rPr>
        <w:br/>
      </w:r>
      <w:r w:rsidR="00076908" w:rsidRPr="00B4014D">
        <w:rPr>
          <w:sz w:val="24"/>
          <w:szCs w:val="24"/>
        </w:rPr>
        <w:t>14 września 2004 r. w sprawie sposobu i trybu przeprowadzania przetargów oraz rokowań na zbycie nieruchomości,</w:t>
      </w:r>
      <w:r w:rsidRPr="00B4014D">
        <w:rPr>
          <w:sz w:val="24"/>
          <w:szCs w:val="24"/>
        </w:rPr>
        <w:t xml:space="preserve"> w szczególności dowodu potwierdzającego wpłatę wadium np. wydruku z rachunku bankowego.</w:t>
      </w:r>
    </w:p>
    <w:p w:rsidR="008F2E29" w:rsidRPr="00B4014D" w:rsidRDefault="008F2E29" w:rsidP="00F901A0">
      <w:pPr>
        <w:pStyle w:val="Tekstpodstawowy"/>
        <w:spacing w:before="16" w:line="276" w:lineRule="auto"/>
        <w:rPr>
          <w:sz w:val="24"/>
          <w:szCs w:val="24"/>
        </w:rPr>
      </w:pPr>
    </w:p>
    <w:p w:rsidR="00655CF0" w:rsidRPr="00B4014D" w:rsidRDefault="00655CF0" w:rsidP="00F901A0">
      <w:pPr>
        <w:pStyle w:val="Tekstpodstawowy"/>
        <w:spacing w:before="155" w:line="276" w:lineRule="auto"/>
        <w:ind w:right="3"/>
        <w:jc w:val="both"/>
        <w:rPr>
          <w:sz w:val="24"/>
          <w:szCs w:val="24"/>
        </w:rPr>
      </w:pPr>
      <w:r w:rsidRPr="00B4014D">
        <w:rPr>
          <w:sz w:val="24"/>
          <w:szCs w:val="24"/>
        </w:rPr>
        <w:t xml:space="preserve">Formularz Zgłoszenia udziału w przetargu oraz wzór umowy najmu można pobrać ze strony </w:t>
      </w:r>
      <w:hyperlink w:history="1">
        <w:r w:rsidRPr="00B4014D">
          <w:rPr>
            <w:rStyle w:val="Hipercze"/>
            <w:sz w:val="24"/>
            <w:szCs w:val="24"/>
          </w:rPr>
          <w:t xml:space="preserve">www.cbmm.lodz.pl </w:t>
        </w:r>
      </w:hyperlink>
      <w:r w:rsidRPr="00B4014D">
        <w:rPr>
          <w:sz w:val="24"/>
          <w:szCs w:val="24"/>
        </w:rPr>
        <w:t xml:space="preserve">(zakładka BIP) lub uzyskać w Sekretariacie Ogólnym Centrum Badań Molekularnych i Makromolekularnych PAN w Łodzi, ul. Sienkiewicza 112, </w:t>
      </w:r>
      <w:r w:rsidR="00076908" w:rsidRPr="00B4014D">
        <w:rPr>
          <w:sz w:val="24"/>
          <w:szCs w:val="24"/>
        </w:rPr>
        <w:br/>
      </w:r>
      <w:r w:rsidRPr="00B4014D">
        <w:rPr>
          <w:sz w:val="24"/>
          <w:szCs w:val="24"/>
        </w:rPr>
        <w:t xml:space="preserve">tel.: (+48 42) 680-32-18, w terminie od dnia ukazania się niniejszego ogłoszenia do dnia </w:t>
      </w:r>
      <w:r w:rsidR="00076908" w:rsidRPr="00B4014D">
        <w:rPr>
          <w:sz w:val="24"/>
          <w:szCs w:val="24"/>
        </w:rPr>
        <w:br/>
      </w:r>
      <w:r w:rsidR="004556CE" w:rsidRPr="00B4014D">
        <w:rPr>
          <w:sz w:val="24"/>
          <w:szCs w:val="24"/>
        </w:rPr>
        <w:t>1</w:t>
      </w:r>
      <w:r w:rsidR="00405B1B">
        <w:rPr>
          <w:sz w:val="24"/>
          <w:szCs w:val="24"/>
        </w:rPr>
        <w:t>6</w:t>
      </w:r>
      <w:r w:rsidR="004556CE" w:rsidRPr="00B4014D">
        <w:rPr>
          <w:sz w:val="24"/>
          <w:szCs w:val="24"/>
        </w:rPr>
        <w:t xml:space="preserve"> maja</w:t>
      </w:r>
      <w:r w:rsidRPr="00B4014D">
        <w:rPr>
          <w:sz w:val="24"/>
          <w:szCs w:val="24"/>
        </w:rPr>
        <w:t xml:space="preserve"> 202</w:t>
      </w:r>
      <w:r w:rsidR="004556CE" w:rsidRPr="00B4014D">
        <w:rPr>
          <w:sz w:val="24"/>
          <w:szCs w:val="24"/>
        </w:rPr>
        <w:t>4</w:t>
      </w:r>
      <w:r w:rsidRPr="00B4014D">
        <w:rPr>
          <w:sz w:val="24"/>
          <w:szCs w:val="24"/>
        </w:rPr>
        <w:t xml:space="preserve"> r.</w:t>
      </w:r>
    </w:p>
    <w:p w:rsidR="008F2E29" w:rsidRPr="00B4014D" w:rsidRDefault="008F2E29" w:rsidP="00F901A0">
      <w:pPr>
        <w:pStyle w:val="Tekstpodstawowy"/>
        <w:spacing w:before="40" w:line="276" w:lineRule="auto"/>
        <w:rPr>
          <w:sz w:val="24"/>
          <w:szCs w:val="24"/>
        </w:rPr>
      </w:pPr>
    </w:p>
    <w:p w:rsidR="008F2E29" w:rsidRPr="00B4014D" w:rsidRDefault="008F2E29" w:rsidP="00F901A0">
      <w:pPr>
        <w:pStyle w:val="Nagwek1"/>
        <w:spacing w:line="276" w:lineRule="auto"/>
        <w:ind w:left="0"/>
        <w:jc w:val="both"/>
        <w:rPr>
          <w:sz w:val="24"/>
          <w:szCs w:val="24"/>
        </w:rPr>
      </w:pPr>
      <w:r w:rsidRPr="00B4014D">
        <w:rPr>
          <w:sz w:val="24"/>
          <w:szCs w:val="24"/>
        </w:rPr>
        <w:t>TERMIN I MIEJSCE PRZETARGU</w:t>
      </w:r>
    </w:p>
    <w:p w:rsidR="008F2E29" w:rsidRPr="00B4014D" w:rsidRDefault="008F2E29" w:rsidP="00F901A0">
      <w:pPr>
        <w:spacing w:before="135" w:line="276" w:lineRule="auto"/>
        <w:ind w:right="111"/>
        <w:jc w:val="both"/>
        <w:rPr>
          <w:sz w:val="24"/>
          <w:szCs w:val="24"/>
        </w:rPr>
      </w:pPr>
      <w:r w:rsidRPr="00B4014D">
        <w:rPr>
          <w:sz w:val="24"/>
          <w:szCs w:val="24"/>
        </w:rPr>
        <w:t xml:space="preserve">Przetarg odbędzie się </w:t>
      </w:r>
      <w:r w:rsidRPr="00B4014D">
        <w:rPr>
          <w:b/>
          <w:sz w:val="24"/>
          <w:szCs w:val="24"/>
        </w:rPr>
        <w:t xml:space="preserve">w dniu </w:t>
      </w:r>
      <w:r w:rsidR="004556CE" w:rsidRPr="00B4014D">
        <w:rPr>
          <w:b/>
          <w:sz w:val="24"/>
          <w:szCs w:val="24"/>
        </w:rPr>
        <w:t>1</w:t>
      </w:r>
      <w:r w:rsidR="00076908" w:rsidRPr="00B4014D">
        <w:rPr>
          <w:b/>
          <w:sz w:val="24"/>
          <w:szCs w:val="24"/>
        </w:rPr>
        <w:t>6</w:t>
      </w:r>
      <w:r w:rsidR="004556CE" w:rsidRPr="00B4014D">
        <w:rPr>
          <w:b/>
          <w:sz w:val="24"/>
          <w:szCs w:val="24"/>
        </w:rPr>
        <w:t xml:space="preserve"> maja</w:t>
      </w:r>
      <w:r w:rsidRPr="00B4014D">
        <w:rPr>
          <w:b/>
          <w:sz w:val="24"/>
          <w:szCs w:val="24"/>
        </w:rPr>
        <w:t xml:space="preserve"> 202</w:t>
      </w:r>
      <w:r w:rsidR="004556CE" w:rsidRPr="00B4014D">
        <w:rPr>
          <w:b/>
          <w:sz w:val="24"/>
          <w:szCs w:val="24"/>
        </w:rPr>
        <w:t>4</w:t>
      </w:r>
      <w:r w:rsidRPr="00B4014D">
        <w:rPr>
          <w:b/>
          <w:sz w:val="24"/>
          <w:szCs w:val="24"/>
        </w:rPr>
        <w:t xml:space="preserve"> r. </w:t>
      </w:r>
      <w:r w:rsidRPr="00B4014D">
        <w:rPr>
          <w:sz w:val="24"/>
          <w:szCs w:val="24"/>
        </w:rPr>
        <w:t xml:space="preserve">w siedzibie Centrum Badań Molekularnych </w:t>
      </w:r>
      <w:r w:rsidR="00B4014D">
        <w:rPr>
          <w:sz w:val="24"/>
          <w:szCs w:val="24"/>
        </w:rPr>
        <w:br/>
      </w:r>
      <w:r w:rsidRPr="00B4014D">
        <w:rPr>
          <w:sz w:val="24"/>
          <w:szCs w:val="24"/>
        </w:rPr>
        <w:t xml:space="preserve">i Makromolekularnych Polskiej Akademii Nauk w Łodzi, </w:t>
      </w:r>
      <w:r w:rsidR="00655CF0" w:rsidRPr="00B4014D">
        <w:rPr>
          <w:sz w:val="24"/>
          <w:szCs w:val="24"/>
        </w:rPr>
        <w:t>ul. Sienkiewicza 112, Sala Konferencyjna 08, Budynek A</w:t>
      </w:r>
      <w:r w:rsidRPr="00B4014D">
        <w:rPr>
          <w:sz w:val="24"/>
          <w:szCs w:val="24"/>
        </w:rPr>
        <w:t xml:space="preserve">, </w:t>
      </w:r>
      <w:r w:rsidRPr="00B4014D">
        <w:rPr>
          <w:b/>
          <w:sz w:val="24"/>
          <w:szCs w:val="24"/>
        </w:rPr>
        <w:t>o godz. 1</w:t>
      </w:r>
      <w:r w:rsidR="00405B1B">
        <w:rPr>
          <w:b/>
          <w:sz w:val="24"/>
          <w:szCs w:val="24"/>
        </w:rPr>
        <w:t>5</w:t>
      </w:r>
      <w:r w:rsidRPr="00B4014D">
        <w:rPr>
          <w:b/>
          <w:sz w:val="24"/>
          <w:szCs w:val="24"/>
        </w:rPr>
        <w:t>.00</w:t>
      </w:r>
      <w:r w:rsidRPr="00B4014D">
        <w:rPr>
          <w:sz w:val="24"/>
          <w:szCs w:val="24"/>
        </w:rPr>
        <w:t>.</w:t>
      </w:r>
    </w:p>
    <w:p w:rsidR="008F2E29" w:rsidRPr="00B4014D" w:rsidRDefault="008F2E29" w:rsidP="00F901A0">
      <w:pPr>
        <w:pStyle w:val="Tekstpodstawowy"/>
        <w:spacing w:before="40" w:line="276" w:lineRule="auto"/>
        <w:rPr>
          <w:sz w:val="24"/>
          <w:szCs w:val="24"/>
        </w:rPr>
      </w:pPr>
    </w:p>
    <w:p w:rsidR="008F2E29" w:rsidRPr="00B4014D" w:rsidRDefault="008F2E29" w:rsidP="00F901A0">
      <w:pPr>
        <w:pStyle w:val="Nagwek1"/>
        <w:spacing w:line="276" w:lineRule="auto"/>
        <w:ind w:left="0"/>
        <w:jc w:val="both"/>
        <w:rPr>
          <w:sz w:val="24"/>
          <w:szCs w:val="24"/>
        </w:rPr>
      </w:pPr>
      <w:r w:rsidRPr="00B4014D">
        <w:rPr>
          <w:sz w:val="24"/>
          <w:szCs w:val="24"/>
        </w:rPr>
        <w:t>ZAWARCIE UMOWY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61" w:line="276" w:lineRule="auto"/>
        <w:ind w:left="0" w:right="114" w:firstLine="0"/>
        <w:rPr>
          <w:sz w:val="24"/>
          <w:szCs w:val="24"/>
        </w:rPr>
      </w:pPr>
      <w:r w:rsidRPr="00B4014D">
        <w:rPr>
          <w:sz w:val="24"/>
          <w:szCs w:val="24"/>
        </w:rPr>
        <w:t>Przed zawarciem umowy najmu nie będzie wymagane uzyskanie zgody Prezesa Prokuratorii Generalnej Rzeczypospolitej Polskiej, zgodnie z art. 24 ust. 3 ustawy o Polskiej Akademii Nauk.</w:t>
      </w:r>
    </w:p>
    <w:p w:rsidR="005D0547" w:rsidRPr="00B4014D" w:rsidRDefault="005D0547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22" w:line="276" w:lineRule="auto"/>
        <w:ind w:left="0" w:right="113" w:firstLine="0"/>
        <w:rPr>
          <w:b/>
          <w:sz w:val="24"/>
          <w:szCs w:val="24"/>
        </w:rPr>
      </w:pPr>
      <w:r w:rsidRPr="00B4014D">
        <w:rPr>
          <w:sz w:val="24"/>
          <w:szCs w:val="24"/>
        </w:rPr>
        <w:t xml:space="preserve">Termin wypowiedzenia – odpowiednio jeden lub </w:t>
      </w:r>
      <w:r w:rsidR="004556CE" w:rsidRPr="00B4014D">
        <w:rPr>
          <w:sz w:val="24"/>
          <w:szCs w:val="24"/>
        </w:rPr>
        <w:t>sześć</w:t>
      </w:r>
      <w:r w:rsidRPr="00B4014D">
        <w:rPr>
          <w:sz w:val="24"/>
          <w:szCs w:val="24"/>
        </w:rPr>
        <w:t xml:space="preserve"> miesi</w:t>
      </w:r>
      <w:r w:rsidR="004556CE" w:rsidRPr="00B4014D">
        <w:rPr>
          <w:sz w:val="24"/>
          <w:szCs w:val="24"/>
        </w:rPr>
        <w:t>ęcy</w:t>
      </w:r>
      <w:r w:rsidRPr="00B4014D">
        <w:rPr>
          <w:sz w:val="24"/>
          <w:szCs w:val="24"/>
        </w:rPr>
        <w:t>.</w:t>
      </w:r>
    </w:p>
    <w:p w:rsidR="008F2E29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66" w:line="276" w:lineRule="auto"/>
        <w:ind w:left="0" w:right="114" w:firstLine="0"/>
        <w:rPr>
          <w:sz w:val="24"/>
          <w:szCs w:val="24"/>
        </w:rPr>
      </w:pPr>
      <w:r w:rsidRPr="00B4014D">
        <w:rPr>
          <w:sz w:val="24"/>
          <w:szCs w:val="24"/>
        </w:rPr>
        <w:t>Zawarta umowa najmu będzie zawierać klauzulę waloryzacyjną o średnioroczny wskaźnik wzrostu cen i usług konsumpcyjnych za rok ubiegły w stosunku do daty zawartej umowy, ogłaszany przez Prezesa GUS.</w:t>
      </w:r>
    </w:p>
    <w:p w:rsidR="005D0547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24" w:line="276" w:lineRule="auto"/>
        <w:ind w:left="0" w:right="116" w:firstLine="0"/>
        <w:rPr>
          <w:sz w:val="24"/>
          <w:szCs w:val="24"/>
        </w:rPr>
      </w:pPr>
      <w:r w:rsidRPr="00B4014D">
        <w:rPr>
          <w:sz w:val="24"/>
          <w:szCs w:val="24"/>
        </w:rPr>
        <w:t>Za datę wpłaty czynszu najmu uznaje się termin uznania rachunku Centrum Badań Molekularnych i Makromolekularnych Polskiej Akademii Nauk.</w:t>
      </w:r>
    </w:p>
    <w:p w:rsidR="005D0547" w:rsidRPr="00B4014D" w:rsidRDefault="008F2E29" w:rsidP="00F901A0">
      <w:pPr>
        <w:pStyle w:val="Akapitzlist"/>
        <w:numPr>
          <w:ilvl w:val="0"/>
          <w:numId w:val="6"/>
        </w:numPr>
        <w:tabs>
          <w:tab w:val="left" w:pos="284"/>
        </w:tabs>
        <w:spacing w:before="124" w:line="276" w:lineRule="auto"/>
        <w:ind w:left="0" w:right="116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Najemca będzie zobowiązany do </w:t>
      </w:r>
      <w:r w:rsidR="005D0547" w:rsidRPr="00B4014D">
        <w:rPr>
          <w:sz w:val="24"/>
          <w:szCs w:val="24"/>
        </w:rPr>
        <w:t xml:space="preserve">partycypowania w kosztach związanych </w:t>
      </w:r>
      <w:r w:rsidR="00710081" w:rsidRPr="00B4014D">
        <w:rPr>
          <w:sz w:val="24"/>
          <w:szCs w:val="24"/>
        </w:rPr>
        <w:t xml:space="preserve">ze </w:t>
      </w:r>
      <w:r w:rsidR="005D0547" w:rsidRPr="00B4014D">
        <w:rPr>
          <w:sz w:val="24"/>
          <w:szCs w:val="24"/>
        </w:rPr>
        <w:t>świadcze</w:t>
      </w:r>
      <w:r w:rsidR="00710081" w:rsidRPr="00B4014D">
        <w:rPr>
          <w:sz w:val="24"/>
          <w:szCs w:val="24"/>
        </w:rPr>
        <w:t>niami</w:t>
      </w:r>
      <w:r w:rsidR="005D0547" w:rsidRPr="00B4014D">
        <w:rPr>
          <w:sz w:val="24"/>
          <w:szCs w:val="24"/>
        </w:rPr>
        <w:t xml:space="preserve"> dodatkowy</w:t>
      </w:r>
      <w:r w:rsidR="00710081" w:rsidRPr="00B4014D">
        <w:rPr>
          <w:sz w:val="24"/>
          <w:szCs w:val="24"/>
        </w:rPr>
        <w:t xml:space="preserve">mi, które </w:t>
      </w:r>
      <w:r w:rsidR="005D0547" w:rsidRPr="00B4014D">
        <w:rPr>
          <w:sz w:val="24"/>
          <w:szCs w:val="24"/>
        </w:rPr>
        <w:t xml:space="preserve">zapewni </w:t>
      </w:r>
      <w:proofErr w:type="spellStart"/>
      <w:r w:rsidR="005D0547" w:rsidRPr="00B4014D">
        <w:rPr>
          <w:sz w:val="24"/>
          <w:szCs w:val="24"/>
        </w:rPr>
        <w:t>CBMiM</w:t>
      </w:r>
      <w:proofErr w:type="spellEnd"/>
      <w:r w:rsidR="005D0547" w:rsidRPr="00B4014D">
        <w:rPr>
          <w:sz w:val="24"/>
          <w:szCs w:val="24"/>
        </w:rPr>
        <w:t xml:space="preserve"> PAN</w:t>
      </w:r>
      <w:r w:rsidR="00710081" w:rsidRPr="00B4014D">
        <w:rPr>
          <w:sz w:val="24"/>
          <w:szCs w:val="24"/>
        </w:rPr>
        <w:t>, tj.</w:t>
      </w:r>
      <w:r w:rsidR="00076908" w:rsidRPr="00B4014D">
        <w:rPr>
          <w:sz w:val="24"/>
          <w:szCs w:val="24"/>
        </w:rPr>
        <w:t xml:space="preserve"> np.</w:t>
      </w:r>
      <w:r w:rsidR="005D0547" w:rsidRPr="00B4014D">
        <w:rPr>
          <w:sz w:val="24"/>
          <w:szCs w:val="24"/>
        </w:rPr>
        <w:t>:</w:t>
      </w:r>
    </w:p>
    <w:p w:rsidR="005D0547" w:rsidRPr="00B4014D" w:rsidRDefault="005D0547" w:rsidP="00F901A0">
      <w:pPr>
        <w:widowControl/>
        <w:numPr>
          <w:ilvl w:val="0"/>
          <w:numId w:val="9"/>
        </w:numPr>
        <w:tabs>
          <w:tab w:val="clear" w:pos="360"/>
          <w:tab w:val="decimal" w:pos="720"/>
        </w:tabs>
        <w:autoSpaceDE/>
        <w:autoSpaceDN/>
        <w:spacing w:line="276" w:lineRule="auto"/>
        <w:ind w:hanging="360"/>
        <w:rPr>
          <w:sz w:val="24"/>
          <w:szCs w:val="24"/>
        </w:rPr>
      </w:pPr>
      <w:r w:rsidRPr="00B4014D">
        <w:rPr>
          <w:sz w:val="24"/>
          <w:szCs w:val="24"/>
        </w:rPr>
        <w:t>Centralnego ogrzewania</w:t>
      </w:r>
    </w:p>
    <w:p w:rsidR="005D0547" w:rsidRPr="00B4014D" w:rsidRDefault="005D0547" w:rsidP="00F901A0">
      <w:pPr>
        <w:widowControl/>
        <w:numPr>
          <w:ilvl w:val="0"/>
          <w:numId w:val="9"/>
        </w:numPr>
        <w:tabs>
          <w:tab w:val="clear" w:pos="360"/>
          <w:tab w:val="decimal" w:pos="720"/>
        </w:tabs>
        <w:autoSpaceDE/>
        <w:autoSpaceDN/>
        <w:spacing w:line="276" w:lineRule="auto"/>
        <w:ind w:hanging="360"/>
        <w:rPr>
          <w:sz w:val="24"/>
          <w:szCs w:val="24"/>
        </w:rPr>
      </w:pPr>
      <w:r w:rsidRPr="00B4014D">
        <w:rPr>
          <w:sz w:val="24"/>
          <w:szCs w:val="24"/>
        </w:rPr>
        <w:t>Zimnej i ciepłej wody oraz odprowadzenia ścieków</w:t>
      </w:r>
    </w:p>
    <w:p w:rsidR="005D0547" w:rsidRPr="00B4014D" w:rsidRDefault="005D0547" w:rsidP="00F901A0">
      <w:pPr>
        <w:widowControl/>
        <w:numPr>
          <w:ilvl w:val="0"/>
          <w:numId w:val="9"/>
        </w:numPr>
        <w:tabs>
          <w:tab w:val="clear" w:pos="360"/>
          <w:tab w:val="decimal" w:pos="720"/>
        </w:tabs>
        <w:autoSpaceDE/>
        <w:autoSpaceDN/>
        <w:spacing w:line="276" w:lineRule="auto"/>
        <w:ind w:hanging="360"/>
        <w:rPr>
          <w:sz w:val="24"/>
          <w:szCs w:val="24"/>
        </w:rPr>
      </w:pPr>
      <w:r w:rsidRPr="00B4014D">
        <w:rPr>
          <w:sz w:val="24"/>
          <w:szCs w:val="24"/>
        </w:rPr>
        <w:t>Energii elektrycznej</w:t>
      </w:r>
    </w:p>
    <w:p w:rsidR="005D0547" w:rsidRPr="00B4014D" w:rsidRDefault="005D0547" w:rsidP="00F901A0">
      <w:pPr>
        <w:widowControl/>
        <w:numPr>
          <w:ilvl w:val="0"/>
          <w:numId w:val="9"/>
        </w:numPr>
        <w:tabs>
          <w:tab w:val="clear" w:pos="360"/>
          <w:tab w:val="decimal" w:pos="720"/>
        </w:tabs>
        <w:autoSpaceDE/>
        <w:autoSpaceDN/>
        <w:spacing w:line="276" w:lineRule="auto"/>
        <w:ind w:hanging="360"/>
        <w:rPr>
          <w:sz w:val="24"/>
          <w:szCs w:val="24"/>
        </w:rPr>
      </w:pPr>
      <w:r w:rsidRPr="00B4014D">
        <w:rPr>
          <w:sz w:val="24"/>
          <w:szCs w:val="24"/>
        </w:rPr>
        <w:t>Wywozu nieczystości</w:t>
      </w:r>
    </w:p>
    <w:p w:rsidR="005D0547" w:rsidRPr="00B4014D" w:rsidRDefault="005D0547" w:rsidP="00F901A0">
      <w:pPr>
        <w:widowControl/>
        <w:numPr>
          <w:ilvl w:val="0"/>
          <w:numId w:val="9"/>
        </w:numPr>
        <w:tabs>
          <w:tab w:val="clear" w:pos="360"/>
          <w:tab w:val="decimal" w:pos="720"/>
        </w:tabs>
        <w:autoSpaceDE/>
        <w:autoSpaceDN/>
        <w:spacing w:line="276" w:lineRule="auto"/>
        <w:ind w:hanging="360"/>
        <w:rPr>
          <w:sz w:val="24"/>
          <w:szCs w:val="24"/>
        </w:rPr>
      </w:pPr>
      <w:r w:rsidRPr="00B4014D">
        <w:rPr>
          <w:sz w:val="24"/>
          <w:szCs w:val="24"/>
        </w:rPr>
        <w:t>Dozoru terenu</w:t>
      </w:r>
    </w:p>
    <w:p w:rsidR="00710081" w:rsidRPr="00B4014D" w:rsidRDefault="005D0547" w:rsidP="00F901A0">
      <w:pPr>
        <w:pStyle w:val="Akapitzlist"/>
        <w:widowControl/>
        <w:numPr>
          <w:ilvl w:val="0"/>
          <w:numId w:val="7"/>
        </w:numPr>
        <w:tabs>
          <w:tab w:val="clear" w:pos="360"/>
          <w:tab w:val="decimal" w:pos="284"/>
        </w:tabs>
        <w:autoSpaceDE/>
        <w:autoSpaceDN/>
        <w:spacing w:before="120" w:line="276" w:lineRule="auto"/>
        <w:ind w:left="0" w:right="72" w:firstLine="0"/>
        <w:contextualSpacing/>
        <w:rPr>
          <w:sz w:val="24"/>
          <w:szCs w:val="24"/>
        </w:rPr>
      </w:pPr>
      <w:proofErr w:type="spellStart"/>
      <w:r w:rsidRPr="00B4014D">
        <w:rPr>
          <w:sz w:val="24"/>
          <w:szCs w:val="24"/>
        </w:rPr>
        <w:t>C</w:t>
      </w:r>
      <w:r w:rsidR="00710081" w:rsidRPr="00B4014D">
        <w:rPr>
          <w:sz w:val="24"/>
          <w:szCs w:val="24"/>
        </w:rPr>
        <w:t>BMiM</w:t>
      </w:r>
      <w:proofErr w:type="spellEnd"/>
      <w:r w:rsidRPr="00B4014D">
        <w:rPr>
          <w:sz w:val="24"/>
          <w:szCs w:val="24"/>
        </w:rPr>
        <w:t xml:space="preserve"> </w:t>
      </w:r>
      <w:r w:rsidR="00710081" w:rsidRPr="00B4014D">
        <w:rPr>
          <w:sz w:val="24"/>
          <w:szCs w:val="24"/>
        </w:rPr>
        <w:t xml:space="preserve">PAN </w:t>
      </w:r>
      <w:r w:rsidRPr="00B4014D">
        <w:rPr>
          <w:sz w:val="24"/>
          <w:szCs w:val="24"/>
        </w:rPr>
        <w:t xml:space="preserve">wyraża zgodę na odprowadzenie ścieków sanitarnych i przemysłowych </w:t>
      </w:r>
      <w:r w:rsidRPr="00B4014D">
        <w:rPr>
          <w:sz w:val="24"/>
          <w:szCs w:val="24"/>
        </w:rPr>
        <w:br/>
        <w:t xml:space="preserve">do urządzeń kanalizacyjnych stanowiących własność </w:t>
      </w:r>
      <w:proofErr w:type="spellStart"/>
      <w:r w:rsidRPr="00B4014D">
        <w:rPr>
          <w:sz w:val="24"/>
          <w:szCs w:val="24"/>
        </w:rPr>
        <w:t>C</w:t>
      </w:r>
      <w:r w:rsidR="00710081" w:rsidRPr="00B4014D">
        <w:rPr>
          <w:sz w:val="24"/>
          <w:szCs w:val="24"/>
        </w:rPr>
        <w:t>BMiM</w:t>
      </w:r>
      <w:proofErr w:type="spellEnd"/>
      <w:r w:rsidR="00710081" w:rsidRPr="00B4014D">
        <w:rPr>
          <w:sz w:val="24"/>
          <w:szCs w:val="24"/>
        </w:rPr>
        <w:t xml:space="preserve"> PAN</w:t>
      </w:r>
      <w:r w:rsidRPr="00B4014D">
        <w:rPr>
          <w:sz w:val="24"/>
          <w:szCs w:val="24"/>
        </w:rPr>
        <w:t xml:space="preserve"> na warunkach określonych w załączniku nr 3 do umowy nr 411/H/18 z dnia 26.02.2018 r. z Zakładem Wodociągów </w:t>
      </w:r>
      <w:r w:rsidRPr="00B4014D">
        <w:rPr>
          <w:sz w:val="24"/>
          <w:szCs w:val="24"/>
        </w:rPr>
        <w:br/>
        <w:t xml:space="preserve">i Kanalizacji Sp. z o.o. (kopia w/w załącznika stanowi załącznik do </w:t>
      </w:r>
      <w:r w:rsidR="00710081" w:rsidRPr="00B4014D">
        <w:rPr>
          <w:sz w:val="24"/>
          <w:szCs w:val="24"/>
        </w:rPr>
        <w:t>projektu umowy dot. świadczeń dodatkowych</w:t>
      </w:r>
      <w:r w:rsidRPr="00B4014D">
        <w:rPr>
          <w:sz w:val="24"/>
          <w:szCs w:val="24"/>
        </w:rPr>
        <w:t xml:space="preserve">). </w:t>
      </w:r>
    </w:p>
    <w:p w:rsidR="00F901A0" w:rsidRPr="00B4014D" w:rsidRDefault="00710081" w:rsidP="00F901A0">
      <w:pPr>
        <w:pStyle w:val="Akapitzlist"/>
        <w:widowControl/>
        <w:numPr>
          <w:ilvl w:val="0"/>
          <w:numId w:val="7"/>
        </w:numPr>
        <w:tabs>
          <w:tab w:val="clear" w:pos="360"/>
          <w:tab w:val="decimal" w:pos="284"/>
        </w:tabs>
        <w:autoSpaceDE/>
        <w:autoSpaceDN/>
        <w:spacing w:before="120" w:line="276" w:lineRule="auto"/>
        <w:ind w:left="0" w:right="72" w:firstLine="0"/>
        <w:contextualSpacing/>
        <w:rPr>
          <w:sz w:val="24"/>
          <w:szCs w:val="24"/>
        </w:rPr>
      </w:pPr>
      <w:r w:rsidRPr="00B4014D">
        <w:rPr>
          <w:sz w:val="24"/>
          <w:szCs w:val="24"/>
        </w:rPr>
        <w:t>Najemca</w:t>
      </w:r>
      <w:r w:rsidR="005D0547" w:rsidRPr="00B4014D">
        <w:rPr>
          <w:sz w:val="24"/>
          <w:szCs w:val="24"/>
        </w:rPr>
        <w:t xml:space="preserve"> </w:t>
      </w:r>
      <w:r w:rsidRPr="00B4014D">
        <w:rPr>
          <w:sz w:val="24"/>
          <w:szCs w:val="24"/>
        </w:rPr>
        <w:t xml:space="preserve">będzie utylizować </w:t>
      </w:r>
      <w:r w:rsidR="005D0547" w:rsidRPr="00B4014D">
        <w:rPr>
          <w:sz w:val="24"/>
          <w:szCs w:val="24"/>
        </w:rPr>
        <w:t xml:space="preserve">we własnym zakresie wytwarzane ciekłe i stałe odpady niebezpieczne, a ścieki przemysłowe przed zrzutem do neutralizatora ścieków będą spełniały normy ustalone w </w:t>
      </w:r>
      <w:r w:rsidR="00076908" w:rsidRPr="00B4014D">
        <w:rPr>
          <w:sz w:val="24"/>
          <w:szCs w:val="24"/>
        </w:rPr>
        <w:t xml:space="preserve">uaktualnionym </w:t>
      </w:r>
      <w:r w:rsidR="005D0547" w:rsidRPr="00B4014D">
        <w:rPr>
          <w:sz w:val="24"/>
          <w:szCs w:val="24"/>
        </w:rPr>
        <w:t>pozwoleniu wodno-prawnym</w:t>
      </w:r>
      <w:r w:rsidRPr="00B4014D">
        <w:rPr>
          <w:sz w:val="24"/>
          <w:szCs w:val="24"/>
        </w:rPr>
        <w:t>. Najemca</w:t>
      </w:r>
      <w:r w:rsidR="005D0547" w:rsidRPr="00B4014D">
        <w:rPr>
          <w:sz w:val="24"/>
          <w:szCs w:val="24"/>
        </w:rPr>
        <w:t xml:space="preserve"> będzie wykonywać analizy jakości ścieków określone w pkt a załącznika </w:t>
      </w:r>
      <w:proofErr w:type="spellStart"/>
      <w:r w:rsidR="005D0547" w:rsidRPr="00B4014D">
        <w:rPr>
          <w:sz w:val="24"/>
          <w:szCs w:val="24"/>
        </w:rPr>
        <w:t>j.w</w:t>
      </w:r>
      <w:proofErr w:type="spellEnd"/>
      <w:r w:rsidR="005D0547" w:rsidRPr="00B4014D">
        <w:rPr>
          <w:sz w:val="24"/>
          <w:szCs w:val="24"/>
        </w:rPr>
        <w:t>. na własny koszt</w:t>
      </w:r>
      <w:r w:rsidR="00076908" w:rsidRPr="00B4014D">
        <w:rPr>
          <w:sz w:val="24"/>
          <w:szCs w:val="24"/>
        </w:rPr>
        <w:t>,</w:t>
      </w:r>
      <w:r w:rsidRPr="00B4014D">
        <w:rPr>
          <w:sz w:val="24"/>
          <w:szCs w:val="24"/>
        </w:rPr>
        <w:t xml:space="preserve"> a w</w:t>
      </w:r>
      <w:r w:rsidR="005D0547" w:rsidRPr="00B4014D">
        <w:rPr>
          <w:sz w:val="24"/>
          <w:szCs w:val="24"/>
        </w:rPr>
        <w:t xml:space="preserve">yniki </w:t>
      </w:r>
      <w:r w:rsidRPr="00B4014D">
        <w:rPr>
          <w:sz w:val="24"/>
          <w:szCs w:val="24"/>
        </w:rPr>
        <w:t xml:space="preserve">tych </w:t>
      </w:r>
      <w:r w:rsidR="005D0547" w:rsidRPr="00B4014D">
        <w:rPr>
          <w:sz w:val="24"/>
          <w:szCs w:val="24"/>
        </w:rPr>
        <w:t>analiz</w:t>
      </w:r>
      <w:r w:rsidRPr="00B4014D">
        <w:rPr>
          <w:sz w:val="24"/>
          <w:szCs w:val="24"/>
        </w:rPr>
        <w:t xml:space="preserve"> Najemca </w:t>
      </w:r>
      <w:r w:rsidR="005D0547" w:rsidRPr="00B4014D">
        <w:rPr>
          <w:sz w:val="24"/>
          <w:szCs w:val="24"/>
        </w:rPr>
        <w:t xml:space="preserve"> przesyłać będzie do </w:t>
      </w:r>
      <w:proofErr w:type="spellStart"/>
      <w:r w:rsidR="005D0547" w:rsidRPr="00B4014D">
        <w:rPr>
          <w:sz w:val="24"/>
          <w:szCs w:val="24"/>
        </w:rPr>
        <w:t>ZWiK</w:t>
      </w:r>
      <w:proofErr w:type="spellEnd"/>
      <w:r w:rsidR="005D0547" w:rsidRPr="00B4014D">
        <w:rPr>
          <w:sz w:val="24"/>
          <w:szCs w:val="24"/>
        </w:rPr>
        <w:t xml:space="preserve"> 2 razy w roku (kwiecień, październik) z kopią do </w:t>
      </w:r>
      <w:proofErr w:type="spellStart"/>
      <w:r w:rsidR="005D0547" w:rsidRPr="00B4014D">
        <w:rPr>
          <w:sz w:val="24"/>
          <w:szCs w:val="24"/>
        </w:rPr>
        <w:t>C</w:t>
      </w:r>
      <w:r w:rsidRPr="00B4014D">
        <w:rPr>
          <w:sz w:val="24"/>
          <w:szCs w:val="24"/>
        </w:rPr>
        <w:t>BMiM</w:t>
      </w:r>
      <w:proofErr w:type="spellEnd"/>
      <w:r w:rsidRPr="00B4014D">
        <w:rPr>
          <w:sz w:val="24"/>
          <w:szCs w:val="24"/>
        </w:rPr>
        <w:t xml:space="preserve"> PAN</w:t>
      </w:r>
      <w:r w:rsidR="005D0547" w:rsidRPr="00B4014D">
        <w:rPr>
          <w:sz w:val="24"/>
          <w:szCs w:val="24"/>
        </w:rPr>
        <w:t>.</w:t>
      </w:r>
    </w:p>
    <w:p w:rsidR="00710081" w:rsidRPr="00B4014D" w:rsidRDefault="00710081" w:rsidP="00F901A0">
      <w:pPr>
        <w:pStyle w:val="Akapitzlist"/>
        <w:widowControl/>
        <w:numPr>
          <w:ilvl w:val="0"/>
          <w:numId w:val="7"/>
        </w:numPr>
        <w:tabs>
          <w:tab w:val="clear" w:pos="360"/>
          <w:tab w:val="decimal" w:pos="284"/>
        </w:tabs>
        <w:autoSpaceDE/>
        <w:autoSpaceDN/>
        <w:spacing w:before="120" w:line="276" w:lineRule="auto"/>
        <w:ind w:left="0" w:right="72" w:firstLine="0"/>
        <w:contextualSpacing/>
        <w:rPr>
          <w:sz w:val="24"/>
          <w:szCs w:val="24"/>
        </w:rPr>
      </w:pPr>
      <w:proofErr w:type="spellStart"/>
      <w:r w:rsidRPr="00B4014D">
        <w:rPr>
          <w:sz w:val="24"/>
          <w:szCs w:val="24"/>
        </w:rPr>
        <w:t>W</w:t>
      </w:r>
      <w:r w:rsidR="00F901A0" w:rsidRPr="00B4014D">
        <w:rPr>
          <w:sz w:val="24"/>
          <w:szCs w:val="24"/>
        </w:rPr>
        <w:t>w</w:t>
      </w:r>
      <w:proofErr w:type="spellEnd"/>
      <w:r w:rsidRPr="00B4014D">
        <w:rPr>
          <w:sz w:val="24"/>
          <w:szCs w:val="24"/>
        </w:rPr>
        <w:t xml:space="preserve"> o</w:t>
      </w:r>
      <w:r w:rsidR="008F2E29" w:rsidRPr="00B4014D">
        <w:rPr>
          <w:sz w:val="24"/>
          <w:szCs w:val="24"/>
        </w:rPr>
        <w:t xml:space="preserve">płaty ponoszone będą przez Najemcę na podstawie </w:t>
      </w:r>
      <w:r w:rsidRPr="00B4014D">
        <w:rPr>
          <w:sz w:val="24"/>
          <w:szCs w:val="24"/>
        </w:rPr>
        <w:t xml:space="preserve">wystawianych przez Wynajmującego </w:t>
      </w:r>
      <w:r w:rsidR="008F2E29" w:rsidRPr="00B4014D">
        <w:rPr>
          <w:sz w:val="24"/>
          <w:szCs w:val="24"/>
        </w:rPr>
        <w:t>refaktur odczytu z podlicznik</w:t>
      </w:r>
      <w:r w:rsidRPr="00B4014D">
        <w:rPr>
          <w:sz w:val="24"/>
          <w:szCs w:val="24"/>
        </w:rPr>
        <w:t>ów lub</w:t>
      </w:r>
      <w:r w:rsidR="008F2E29" w:rsidRPr="00B4014D">
        <w:rPr>
          <w:sz w:val="24"/>
          <w:szCs w:val="24"/>
        </w:rPr>
        <w:t xml:space="preserve"> </w:t>
      </w:r>
      <w:r w:rsidRPr="00B4014D">
        <w:rPr>
          <w:sz w:val="24"/>
          <w:szCs w:val="24"/>
        </w:rPr>
        <w:t xml:space="preserve">% kosztów wynikających z faktur VAT poniesionych przez </w:t>
      </w:r>
      <w:proofErr w:type="spellStart"/>
      <w:r w:rsidRPr="00B4014D">
        <w:rPr>
          <w:sz w:val="24"/>
          <w:szCs w:val="24"/>
        </w:rPr>
        <w:t>CBMiM</w:t>
      </w:r>
      <w:proofErr w:type="spellEnd"/>
      <w:r w:rsidRPr="00B4014D">
        <w:rPr>
          <w:sz w:val="24"/>
          <w:szCs w:val="24"/>
        </w:rPr>
        <w:t xml:space="preserve"> PAN.</w:t>
      </w:r>
    </w:p>
    <w:p w:rsidR="0095320C" w:rsidRPr="00B4014D" w:rsidRDefault="008F2E29" w:rsidP="00F901A0">
      <w:pPr>
        <w:pStyle w:val="Akapitzlist"/>
        <w:widowControl/>
        <w:numPr>
          <w:ilvl w:val="0"/>
          <w:numId w:val="11"/>
        </w:numPr>
        <w:tabs>
          <w:tab w:val="decimal" w:pos="284"/>
        </w:tabs>
        <w:autoSpaceDE/>
        <w:autoSpaceDN/>
        <w:spacing w:before="22" w:line="276" w:lineRule="auto"/>
        <w:ind w:left="0" w:right="72" w:firstLine="0"/>
        <w:contextualSpacing/>
        <w:rPr>
          <w:sz w:val="24"/>
          <w:szCs w:val="24"/>
        </w:rPr>
      </w:pPr>
      <w:r w:rsidRPr="00B4014D">
        <w:rPr>
          <w:sz w:val="24"/>
          <w:szCs w:val="24"/>
        </w:rPr>
        <w:lastRenderedPageBreak/>
        <w:t>Najemca zobowiązany będzie również do pokrycia kosztów</w:t>
      </w:r>
      <w:r w:rsidR="0095320C" w:rsidRPr="00B4014D">
        <w:rPr>
          <w:sz w:val="24"/>
          <w:szCs w:val="24"/>
        </w:rPr>
        <w:t xml:space="preserve"> </w:t>
      </w:r>
      <w:r w:rsidRPr="00B4014D">
        <w:rPr>
          <w:sz w:val="24"/>
          <w:szCs w:val="24"/>
        </w:rPr>
        <w:t>podatku od nieruchomości</w:t>
      </w:r>
      <w:r w:rsidR="0095320C" w:rsidRPr="00B4014D">
        <w:rPr>
          <w:sz w:val="24"/>
          <w:szCs w:val="24"/>
        </w:rPr>
        <w:t xml:space="preserve"> i gruntów proporcjonalnie do wynajmowanej powierzchni.</w:t>
      </w:r>
    </w:p>
    <w:p w:rsidR="008F2E29" w:rsidRPr="00B4014D" w:rsidRDefault="0095320C" w:rsidP="00F901A0">
      <w:pPr>
        <w:pStyle w:val="Akapitzlist"/>
        <w:widowControl/>
        <w:numPr>
          <w:ilvl w:val="0"/>
          <w:numId w:val="11"/>
        </w:numPr>
        <w:tabs>
          <w:tab w:val="decimal" w:pos="284"/>
        </w:tabs>
        <w:autoSpaceDE/>
        <w:autoSpaceDN/>
        <w:spacing w:before="19" w:line="276" w:lineRule="auto"/>
        <w:ind w:left="0" w:right="72" w:firstLine="0"/>
        <w:contextualSpacing/>
        <w:rPr>
          <w:sz w:val="24"/>
          <w:szCs w:val="24"/>
        </w:rPr>
      </w:pPr>
      <w:r w:rsidRPr="00B4014D">
        <w:rPr>
          <w:sz w:val="24"/>
          <w:szCs w:val="24"/>
        </w:rPr>
        <w:t xml:space="preserve">Najemca zobowiązany będzie do </w:t>
      </w:r>
      <w:r w:rsidR="008F2E29" w:rsidRPr="00B4014D">
        <w:rPr>
          <w:sz w:val="24"/>
          <w:szCs w:val="24"/>
        </w:rPr>
        <w:t>używania przedmiotu najmu z zachowaniem obowiązujących przepisów</w:t>
      </w:r>
      <w:r w:rsidRPr="00B4014D">
        <w:rPr>
          <w:sz w:val="24"/>
          <w:szCs w:val="24"/>
        </w:rPr>
        <w:t xml:space="preserve"> </w:t>
      </w:r>
      <w:r w:rsidR="008F2E29" w:rsidRPr="00B4014D">
        <w:rPr>
          <w:sz w:val="24"/>
          <w:szCs w:val="24"/>
        </w:rPr>
        <w:t>prawa w szczególności:</w:t>
      </w:r>
    </w:p>
    <w:p w:rsidR="008F2E29" w:rsidRPr="00B4014D" w:rsidRDefault="008F2E29" w:rsidP="00F901A0">
      <w:pPr>
        <w:pStyle w:val="Tekstpodstawowy"/>
        <w:spacing w:before="24" w:line="276" w:lineRule="auto"/>
        <w:rPr>
          <w:sz w:val="24"/>
          <w:szCs w:val="24"/>
        </w:rPr>
      </w:pPr>
    </w:p>
    <w:p w:rsidR="008F2E29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0" w:line="276" w:lineRule="auto"/>
        <w:ind w:left="567" w:right="113" w:hanging="283"/>
        <w:rPr>
          <w:sz w:val="24"/>
          <w:szCs w:val="24"/>
        </w:rPr>
      </w:pPr>
      <w:r w:rsidRPr="00B4014D">
        <w:rPr>
          <w:sz w:val="24"/>
          <w:szCs w:val="24"/>
        </w:rPr>
        <w:t>Najemca zobowiązany będzie do ubezpieczenia się od odpowiedzialności cywilnej w zakresie szkód majątkowych i niemajątkowych w związku z utrzymaniem przedmiotu najmu do posiadania aktualnej polisy ubezpieczeniowej przez cały okres najmu,</w:t>
      </w:r>
    </w:p>
    <w:p w:rsidR="0095320C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4" w:line="276" w:lineRule="auto"/>
        <w:ind w:left="567" w:right="112" w:hanging="283"/>
        <w:rPr>
          <w:sz w:val="24"/>
          <w:szCs w:val="24"/>
        </w:rPr>
      </w:pPr>
      <w:r w:rsidRPr="00B4014D">
        <w:rPr>
          <w:sz w:val="24"/>
          <w:szCs w:val="24"/>
        </w:rPr>
        <w:t xml:space="preserve">Najemca zobowiązuje się ubezpieczyć </w:t>
      </w:r>
      <w:r w:rsidR="00076908" w:rsidRPr="00B4014D">
        <w:rPr>
          <w:sz w:val="24"/>
          <w:szCs w:val="24"/>
        </w:rPr>
        <w:t xml:space="preserve">instalacje, wyposażenie oraz majątek przechowywany w Przedmiocie Najmu </w:t>
      </w:r>
      <w:r w:rsidRPr="00B4014D">
        <w:rPr>
          <w:sz w:val="24"/>
          <w:szCs w:val="24"/>
        </w:rPr>
        <w:t xml:space="preserve">od wszelkich </w:t>
      </w:r>
      <w:proofErr w:type="spellStart"/>
      <w:r w:rsidRPr="00B4014D">
        <w:rPr>
          <w:sz w:val="24"/>
          <w:szCs w:val="24"/>
        </w:rPr>
        <w:t>ryzyk</w:t>
      </w:r>
      <w:proofErr w:type="spellEnd"/>
      <w:r w:rsidRPr="00B4014D">
        <w:rPr>
          <w:sz w:val="24"/>
          <w:szCs w:val="24"/>
        </w:rPr>
        <w:t xml:space="preserve"> w tym w szczególności od ognia, zalania i innych zdarzeń losowych i najpóźniej przed upływem</w:t>
      </w:r>
      <w:r w:rsidR="0095320C" w:rsidRPr="00B4014D">
        <w:rPr>
          <w:sz w:val="24"/>
          <w:szCs w:val="24"/>
        </w:rPr>
        <w:t xml:space="preserve"> te</w:t>
      </w:r>
      <w:r w:rsidRPr="00B4014D">
        <w:rPr>
          <w:sz w:val="24"/>
          <w:szCs w:val="24"/>
        </w:rPr>
        <w:t>rminu zapłacenia składki ubezpieczeniowej, przedstawić Wynajmującemu dowód jej opłaty oraz do posiadania aktualnej polisy ubezpieczeniowej przez cały okres najmu.</w:t>
      </w:r>
    </w:p>
    <w:p w:rsidR="0095320C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4" w:line="276" w:lineRule="auto"/>
        <w:ind w:left="567" w:right="112" w:hanging="283"/>
        <w:rPr>
          <w:sz w:val="24"/>
          <w:szCs w:val="24"/>
        </w:rPr>
      </w:pPr>
      <w:r w:rsidRPr="00B4014D">
        <w:rPr>
          <w:sz w:val="24"/>
          <w:szCs w:val="24"/>
        </w:rPr>
        <w:t>Najemca zobowiązany będzie do ponoszenia odpowiedzialności za wszelkie szkody wyrządzone Wynajmującemu i osobom trzecim spowodowane przez siebie lub jego klientów oraz z tytułu prowadzenia działalności na najmowanym gruncie</w:t>
      </w:r>
      <w:r w:rsidR="00076908" w:rsidRPr="00B4014D">
        <w:rPr>
          <w:sz w:val="24"/>
          <w:szCs w:val="24"/>
        </w:rPr>
        <w:t>/w najmowanym budynku</w:t>
      </w:r>
      <w:r w:rsidRPr="00B4014D">
        <w:rPr>
          <w:sz w:val="24"/>
          <w:szCs w:val="24"/>
        </w:rPr>
        <w:t>,</w:t>
      </w:r>
    </w:p>
    <w:p w:rsidR="0095320C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4" w:line="276" w:lineRule="auto"/>
        <w:ind w:left="567" w:right="112" w:hanging="283"/>
        <w:rPr>
          <w:sz w:val="24"/>
          <w:szCs w:val="24"/>
        </w:rPr>
      </w:pPr>
      <w:r w:rsidRPr="00B4014D">
        <w:rPr>
          <w:sz w:val="24"/>
          <w:szCs w:val="24"/>
        </w:rPr>
        <w:t xml:space="preserve">Najemca zobowiązany będzie do dokonywania konserwacji (utrzymania należytego stanu przedmiotu najmu) i obowiązkowych kontroli okresowych obiektu, prowadzenie książki obiektu budowlanego oraz ponoszenia nakładów związanych ze zwykłym używaniem przedmiotu najmu. Kopie protokołów z kontroli okresowych Najemca obowiązany jest przedkładać </w:t>
      </w:r>
      <w:proofErr w:type="spellStart"/>
      <w:r w:rsidR="0095320C" w:rsidRPr="00B4014D">
        <w:rPr>
          <w:sz w:val="24"/>
          <w:szCs w:val="24"/>
        </w:rPr>
        <w:t>CBMiM</w:t>
      </w:r>
      <w:proofErr w:type="spellEnd"/>
      <w:r w:rsidR="0095320C" w:rsidRPr="00B4014D">
        <w:rPr>
          <w:sz w:val="24"/>
          <w:szCs w:val="24"/>
        </w:rPr>
        <w:t xml:space="preserve"> PAN </w:t>
      </w:r>
      <w:r w:rsidRPr="00B4014D">
        <w:rPr>
          <w:sz w:val="24"/>
          <w:szCs w:val="24"/>
        </w:rPr>
        <w:t>bez wezwania w terminie 7 dni od wykonania kontroli. Wykonanie remontów (w tym adaptacji) i jakichkolwiek innych prac wykraczających poza konserwację wymaga uprzedniej, wyrażonej w formie pisemnej pod rygorem nieważności, zgody Wynajmującego. Wszystkie konserwacje a także prace i nakłady zostaną wykonane na koszt własny Najemcy. W przypadku poniesienia przez Najemcę jakichkolwiek nakładów na przedmiot najmu, zarówno koniecznych, jak i ulepszających, Najemcy nie przysługują roszczenie o ich zwrot lub równowartość, tak w trakcie, jak i po ustaniu stosunku najmu.</w:t>
      </w:r>
    </w:p>
    <w:p w:rsidR="0095320C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4" w:line="276" w:lineRule="auto"/>
        <w:ind w:left="567" w:right="112" w:hanging="283"/>
        <w:rPr>
          <w:sz w:val="24"/>
          <w:szCs w:val="24"/>
        </w:rPr>
      </w:pPr>
      <w:r w:rsidRPr="00B4014D">
        <w:rPr>
          <w:sz w:val="24"/>
          <w:szCs w:val="24"/>
        </w:rPr>
        <w:t xml:space="preserve">Najemca zobowiązuje się do używania przedmiotu najmu z zachowaniem obowiązujących przepisów prawa, a w szczególności budowalnych, sanitarno-epidemiologicznych, przeciwpożarowych, o ochronie środowiska, o ochronie przyrody i zobowiązuje się do używania przedmiotu najmu stosownie do tych ograniczeń, m.in. do utrzymania porządku </w:t>
      </w:r>
      <w:r w:rsidR="00B4014D">
        <w:rPr>
          <w:sz w:val="24"/>
          <w:szCs w:val="24"/>
        </w:rPr>
        <w:br/>
      </w:r>
      <w:r w:rsidRPr="00B4014D">
        <w:rPr>
          <w:sz w:val="24"/>
          <w:szCs w:val="24"/>
        </w:rPr>
        <w:t>i czystości oraz usuwania śmieci i odpadów na własny koszt.</w:t>
      </w:r>
    </w:p>
    <w:p w:rsidR="0095320C" w:rsidRPr="00B4014D" w:rsidRDefault="008F2E29" w:rsidP="00F901A0">
      <w:pPr>
        <w:pStyle w:val="Akapitzlist"/>
        <w:numPr>
          <w:ilvl w:val="0"/>
          <w:numId w:val="12"/>
        </w:numPr>
        <w:tabs>
          <w:tab w:val="left" w:pos="567"/>
        </w:tabs>
        <w:spacing w:before="4" w:line="276" w:lineRule="auto"/>
        <w:ind w:left="567" w:right="112" w:hanging="283"/>
        <w:rPr>
          <w:sz w:val="24"/>
          <w:szCs w:val="24"/>
        </w:rPr>
      </w:pPr>
      <w:r w:rsidRPr="00B4014D">
        <w:rPr>
          <w:sz w:val="24"/>
          <w:szCs w:val="24"/>
        </w:rPr>
        <w:t xml:space="preserve">Jeżeli </w:t>
      </w:r>
      <w:r w:rsidR="00A06693">
        <w:rPr>
          <w:sz w:val="24"/>
          <w:szCs w:val="24"/>
        </w:rPr>
        <w:t>uczestnik</w:t>
      </w:r>
      <w:r w:rsidRPr="00B4014D">
        <w:rPr>
          <w:sz w:val="24"/>
          <w:szCs w:val="24"/>
        </w:rPr>
        <w:t xml:space="preserve"> ustalon</w:t>
      </w:r>
      <w:r w:rsidR="00A06693">
        <w:rPr>
          <w:sz w:val="24"/>
          <w:szCs w:val="24"/>
        </w:rPr>
        <w:t>y</w:t>
      </w:r>
      <w:r w:rsidRPr="00B4014D">
        <w:rPr>
          <w:sz w:val="24"/>
          <w:szCs w:val="24"/>
        </w:rPr>
        <w:t xml:space="preserve">, jako kandydat na najemcę nieruchomości uchyla się od zawarcia umowy, której ważność zależy od spełnienia szczególnych wymagań przewidzianych w ustawie, Dyrektor Centrum Badań Molekularnych i Makromolekularnych Polskiej Akademii Nauk może pobraną sumę </w:t>
      </w:r>
      <w:r w:rsidR="00B4014D" w:rsidRPr="00B4014D">
        <w:rPr>
          <w:sz w:val="24"/>
          <w:szCs w:val="24"/>
        </w:rPr>
        <w:t xml:space="preserve">wadium </w:t>
      </w:r>
      <w:r w:rsidRPr="00B4014D">
        <w:rPr>
          <w:sz w:val="24"/>
          <w:szCs w:val="24"/>
        </w:rPr>
        <w:t>zachować albo dochodzić zaspokojenia z przedmiotu zabezpieczenia</w:t>
      </w:r>
      <w:r w:rsidR="0095320C" w:rsidRPr="00B4014D">
        <w:rPr>
          <w:sz w:val="24"/>
          <w:szCs w:val="24"/>
        </w:rPr>
        <w:t>.</w:t>
      </w:r>
    </w:p>
    <w:p w:rsidR="008F2E29" w:rsidRPr="00B4014D" w:rsidRDefault="008F2E29" w:rsidP="00F901A0">
      <w:pPr>
        <w:pStyle w:val="Tekstpodstawowy"/>
        <w:spacing w:before="81" w:line="276" w:lineRule="auto"/>
        <w:rPr>
          <w:sz w:val="24"/>
          <w:szCs w:val="24"/>
        </w:rPr>
      </w:pPr>
    </w:p>
    <w:p w:rsidR="008F2E29" w:rsidRPr="00B4014D" w:rsidRDefault="008F2E29" w:rsidP="00F901A0">
      <w:pPr>
        <w:pStyle w:val="Nagwek1"/>
        <w:spacing w:line="276" w:lineRule="auto"/>
        <w:ind w:left="0"/>
        <w:rPr>
          <w:sz w:val="24"/>
          <w:szCs w:val="24"/>
        </w:rPr>
      </w:pPr>
      <w:r w:rsidRPr="00B4014D">
        <w:rPr>
          <w:sz w:val="24"/>
          <w:szCs w:val="24"/>
        </w:rPr>
        <w:t>DODATKOWE INFORMACJE</w:t>
      </w:r>
    </w:p>
    <w:p w:rsidR="0095320C" w:rsidRPr="00B4014D" w:rsidRDefault="008F2E29" w:rsidP="00F901A0">
      <w:pPr>
        <w:pStyle w:val="Akapitzlist"/>
        <w:numPr>
          <w:ilvl w:val="0"/>
          <w:numId w:val="3"/>
        </w:numPr>
        <w:tabs>
          <w:tab w:val="left" w:pos="284"/>
        </w:tabs>
        <w:spacing w:before="123" w:line="276" w:lineRule="auto"/>
        <w:ind w:left="0" w:right="113" w:firstLine="0"/>
        <w:rPr>
          <w:sz w:val="24"/>
          <w:szCs w:val="24"/>
        </w:rPr>
      </w:pPr>
      <w:r w:rsidRPr="00B4014D">
        <w:rPr>
          <w:sz w:val="24"/>
          <w:szCs w:val="24"/>
        </w:rPr>
        <w:t>Przetarg jest ważny bez względu na liczbę uczestników, jeżeli chociaż jeden uczestnik zaoferował, co najmniej jedno postąpienie powyżej ceny wywoławczej.</w:t>
      </w:r>
    </w:p>
    <w:p w:rsidR="008F2E29" w:rsidRDefault="008F2E29" w:rsidP="00F901A0">
      <w:pPr>
        <w:pStyle w:val="Akapitzlist"/>
        <w:numPr>
          <w:ilvl w:val="0"/>
          <w:numId w:val="3"/>
        </w:numPr>
        <w:tabs>
          <w:tab w:val="left" w:pos="284"/>
        </w:tabs>
        <w:spacing w:before="123" w:line="276" w:lineRule="auto"/>
        <w:ind w:left="0" w:right="113" w:firstLine="0"/>
        <w:rPr>
          <w:sz w:val="24"/>
          <w:szCs w:val="24"/>
        </w:rPr>
      </w:pPr>
      <w:r w:rsidRPr="00B4014D">
        <w:rPr>
          <w:sz w:val="24"/>
          <w:szCs w:val="24"/>
        </w:rPr>
        <w:t xml:space="preserve">W celu umówienia wizyty i obejrzenia pomieszczeń prosimy o kontakt z Działem Technicznym Centrum Badań Molekularnych i Makromolekularnych PAN, nr telefonu </w:t>
      </w:r>
      <w:r w:rsidR="0095320C" w:rsidRPr="00B4014D">
        <w:rPr>
          <w:sz w:val="24"/>
          <w:szCs w:val="24"/>
        </w:rPr>
        <w:t>4</w:t>
      </w:r>
      <w:r w:rsidRPr="00B4014D">
        <w:rPr>
          <w:sz w:val="24"/>
          <w:szCs w:val="24"/>
        </w:rPr>
        <w:t>2-</w:t>
      </w:r>
      <w:r w:rsidR="0095320C" w:rsidRPr="00B4014D">
        <w:rPr>
          <w:sz w:val="24"/>
          <w:szCs w:val="24"/>
        </w:rPr>
        <w:t xml:space="preserve"> 68 03 310 </w:t>
      </w:r>
      <w:r w:rsidRPr="00B4014D">
        <w:rPr>
          <w:sz w:val="24"/>
          <w:szCs w:val="24"/>
        </w:rPr>
        <w:t xml:space="preserve">w godzinach </w:t>
      </w:r>
      <w:r w:rsidR="0095320C" w:rsidRPr="00B4014D">
        <w:rPr>
          <w:sz w:val="24"/>
          <w:szCs w:val="24"/>
        </w:rPr>
        <w:t>9</w:t>
      </w:r>
      <w:r w:rsidRPr="00B4014D">
        <w:rPr>
          <w:sz w:val="24"/>
          <w:szCs w:val="24"/>
        </w:rPr>
        <w:t>.</w:t>
      </w:r>
      <w:r w:rsidR="0095320C" w:rsidRPr="00B4014D">
        <w:rPr>
          <w:sz w:val="24"/>
          <w:szCs w:val="24"/>
        </w:rPr>
        <w:t>00</w:t>
      </w:r>
      <w:r w:rsidRPr="00B4014D">
        <w:rPr>
          <w:sz w:val="24"/>
          <w:szCs w:val="24"/>
        </w:rPr>
        <w:t xml:space="preserve"> – 1</w:t>
      </w:r>
      <w:r w:rsidR="0095320C" w:rsidRPr="00B4014D">
        <w:rPr>
          <w:sz w:val="24"/>
          <w:szCs w:val="24"/>
        </w:rPr>
        <w:t>5</w:t>
      </w:r>
      <w:r w:rsidRPr="00B4014D">
        <w:rPr>
          <w:sz w:val="24"/>
          <w:szCs w:val="24"/>
        </w:rPr>
        <w:t>.</w:t>
      </w:r>
      <w:r w:rsidR="0095320C" w:rsidRPr="00B4014D">
        <w:rPr>
          <w:sz w:val="24"/>
          <w:szCs w:val="24"/>
        </w:rPr>
        <w:t>00</w:t>
      </w:r>
      <w:r w:rsidRPr="00B4014D">
        <w:rPr>
          <w:sz w:val="24"/>
          <w:szCs w:val="24"/>
        </w:rPr>
        <w:t>.</w:t>
      </w:r>
    </w:p>
    <w:p w:rsidR="000A708F" w:rsidRPr="000A708F" w:rsidRDefault="000A708F" w:rsidP="000A708F">
      <w:pPr>
        <w:spacing w:line="276" w:lineRule="auto"/>
        <w:ind w:left="360" w:right="144"/>
        <w:rPr>
          <w:i/>
          <w:color w:val="000000"/>
          <w:sz w:val="24"/>
          <w:szCs w:val="24"/>
        </w:rPr>
      </w:pPr>
      <w:r w:rsidRPr="000A708F">
        <w:rPr>
          <w:i/>
          <w:color w:val="000000"/>
          <w:sz w:val="24"/>
          <w:szCs w:val="24"/>
        </w:rPr>
        <w:lastRenderedPageBreak/>
        <w:t>Załącznik nr 1 do ogłoszenia</w:t>
      </w:r>
    </w:p>
    <w:p w:rsidR="000A708F" w:rsidRPr="000A708F" w:rsidRDefault="000A708F" w:rsidP="000A708F">
      <w:pPr>
        <w:spacing w:line="276" w:lineRule="auto"/>
        <w:ind w:left="360" w:right="144"/>
        <w:rPr>
          <w:i/>
          <w:color w:val="000000"/>
          <w:sz w:val="24"/>
          <w:szCs w:val="24"/>
        </w:rPr>
      </w:pPr>
    </w:p>
    <w:p w:rsidR="000A708F" w:rsidRPr="000A708F" w:rsidRDefault="000A708F" w:rsidP="000A708F">
      <w:pPr>
        <w:spacing w:line="276" w:lineRule="auto"/>
        <w:ind w:left="360"/>
        <w:jc w:val="center"/>
        <w:rPr>
          <w:b/>
          <w:color w:val="000000"/>
          <w:sz w:val="24"/>
          <w:szCs w:val="24"/>
          <w:u w:val="single"/>
        </w:rPr>
      </w:pPr>
      <w:r w:rsidRPr="000A708F">
        <w:rPr>
          <w:b/>
          <w:color w:val="000000"/>
          <w:sz w:val="24"/>
          <w:szCs w:val="24"/>
          <w:u w:val="single"/>
        </w:rPr>
        <w:t>Pomieszczenia pod wynajem</w:t>
      </w:r>
    </w:p>
    <w:p w:rsidR="000A708F" w:rsidRPr="000A708F" w:rsidRDefault="000A708F" w:rsidP="000A708F">
      <w:pPr>
        <w:spacing w:line="276" w:lineRule="auto"/>
        <w:ind w:left="360"/>
        <w:rPr>
          <w:b/>
          <w:color w:val="000000"/>
          <w:sz w:val="24"/>
          <w:szCs w:val="24"/>
          <w:u w:val="single"/>
        </w:rPr>
      </w:pPr>
    </w:p>
    <w:tbl>
      <w:tblPr>
        <w:tblStyle w:val="Tabela-Siatka"/>
        <w:tblW w:w="7083" w:type="dxa"/>
        <w:jc w:val="center"/>
        <w:tblLook w:val="04A0" w:firstRow="1" w:lastRow="0" w:firstColumn="1" w:lastColumn="0" w:noHBand="0" w:noVBand="1"/>
      </w:tblPr>
      <w:tblGrid>
        <w:gridCol w:w="4390"/>
        <w:gridCol w:w="2693"/>
      </w:tblGrid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1. Komunikacja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22,27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2. Przedsionek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6,90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3. Laboratorium I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46,90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4. Laboratorium II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22,00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5. Laboratorium III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21,70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6. Laboratorium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13,84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065744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7. Pom. Magazynowe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12,46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8. Komunikacja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14,35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9. Przedsionek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6,40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10. Przedsionek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7,02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11. pom. Magazynowe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6,70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12. pom. Biurowe??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12,46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13. Sanitariaty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10,80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14. Komunikacja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3,17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15. Pow. techniczna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4,65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16. Pom. Techniczne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2,52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17. Śluza powietrzna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4,63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18. Śluza materiałowa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3,90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19. Sala krystalizacji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15,10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20. Pakownia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8,30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21. Szatnia przejściowa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4,00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22. Szatnia wejściowa czysta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2,27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23. Szatnia wyjściowa czysta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4,70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 xml:space="preserve">24. Pom. Magazyn.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4,44 m2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25. Pokój biurowy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14,87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WC NP (dla niepełnosprawnych)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2,36 m</w:t>
            </w:r>
            <w:r w:rsidRPr="000A708F">
              <w:rPr>
                <w:sz w:val="24"/>
                <w:szCs w:val="24"/>
                <w:vertAlign w:val="superscript"/>
              </w:rPr>
              <w:t>2</w:t>
            </w:r>
            <w:r w:rsidRPr="000A708F">
              <w:rPr>
                <w:sz w:val="24"/>
                <w:szCs w:val="24"/>
              </w:rPr>
              <w:t xml:space="preserve">  (½ x 4,73 m</w:t>
            </w:r>
            <w:r w:rsidRPr="000A708F">
              <w:rPr>
                <w:sz w:val="24"/>
                <w:szCs w:val="24"/>
                <w:vertAlign w:val="superscript"/>
              </w:rPr>
              <w:t>2</w:t>
            </w:r>
            <w:r w:rsidRPr="000A708F">
              <w:rPr>
                <w:sz w:val="24"/>
                <w:szCs w:val="24"/>
              </w:rPr>
              <w:t>)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0A708F">
              <w:rPr>
                <w:color w:val="000000"/>
                <w:sz w:val="24"/>
                <w:szCs w:val="24"/>
              </w:rPr>
              <w:t>Wentylatornia</w:t>
            </w:r>
            <w:proofErr w:type="spellEnd"/>
            <w:r w:rsidRPr="000A708F">
              <w:rPr>
                <w:color w:val="000000"/>
                <w:sz w:val="24"/>
                <w:szCs w:val="24"/>
              </w:rPr>
              <w:t xml:space="preserve"> i węzeł Co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14,15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0A708F">
              <w:rPr>
                <w:color w:val="000000"/>
                <w:sz w:val="24"/>
                <w:szCs w:val="24"/>
              </w:rPr>
              <w:t xml:space="preserve"> (½ x 28,30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0A708F">
              <w:rPr>
                <w:color w:val="000000"/>
                <w:sz w:val="24"/>
                <w:szCs w:val="24"/>
              </w:rPr>
              <w:t>)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  <w:shd w:val="clear" w:color="auto" w:fill="auto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Komunikacja (współdzielona)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0A708F">
              <w:rPr>
                <w:color w:val="000000"/>
                <w:sz w:val="24"/>
                <w:szCs w:val="24"/>
              </w:rPr>
              <w:t>20,41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0A708F">
              <w:rPr>
                <w:color w:val="000000"/>
                <w:sz w:val="24"/>
                <w:szCs w:val="24"/>
              </w:rPr>
              <w:t xml:space="preserve"> (½ x 40,82 m</w:t>
            </w:r>
            <w:r w:rsidRPr="000A708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0A708F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0A708F" w:rsidRPr="00841F00" w:rsidTr="00823665">
        <w:trPr>
          <w:jc w:val="center"/>
        </w:trPr>
        <w:tc>
          <w:tcPr>
            <w:tcW w:w="4390" w:type="dxa"/>
          </w:tcPr>
          <w:p w:rsidR="000A708F" w:rsidRPr="000A708F" w:rsidRDefault="000A708F" w:rsidP="000A708F">
            <w:pPr>
              <w:spacing w:line="276" w:lineRule="auto"/>
              <w:ind w:left="360"/>
              <w:rPr>
                <w:b/>
                <w:color w:val="000000"/>
                <w:sz w:val="24"/>
                <w:szCs w:val="24"/>
              </w:rPr>
            </w:pPr>
            <w:r w:rsidRPr="000A708F">
              <w:rPr>
                <w:b/>
                <w:color w:val="000000"/>
                <w:sz w:val="24"/>
                <w:szCs w:val="24"/>
              </w:rPr>
              <w:t xml:space="preserve">Ogółem wynajmowana powierzchnia </w:t>
            </w:r>
          </w:p>
        </w:tc>
        <w:tc>
          <w:tcPr>
            <w:tcW w:w="2693" w:type="dxa"/>
            <w:vAlign w:val="center"/>
          </w:tcPr>
          <w:p w:rsidR="000A708F" w:rsidRPr="000A708F" w:rsidRDefault="000A708F" w:rsidP="000A708F">
            <w:pPr>
              <w:spacing w:line="276" w:lineRule="auto"/>
              <w:ind w:left="360"/>
              <w:jc w:val="right"/>
              <w:rPr>
                <w:b/>
                <w:color w:val="000000"/>
                <w:sz w:val="24"/>
                <w:szCs w:val="24"/>
              </w:rPr>
            </w:pPr>
            <w:r w:rsidRPr="000A708F">
              <w:rPr>
                <w:b/>
                <w:color w:val="000000"/>
                <w:sz w:val="24"/>
                <w:szCs w:val="24"/>
              </w:rPr>
              <w:t>313,27 m</w:t>
            </w:r>
            <w:r w:rsidRPr="000A708F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0A708F" w:rsidRDefault="000A708F" w:rsidP="000A708F">
      <w:pPr>
        <w:ind w:left="360"/>
      </w:pPr>
    </w:p>
    <w:p w:rsidR="000A708F" w:rsidRPr="000A708F" w:rsidRDefault="000A708F" w:rsidP="000A708F">
      <w:pPr>
        <w:ind w:left="360"/>
        <w:jc w:val="center"/>
        <w:rPr>
          <w:b/>
          <w:sz w:val="24"/>
          <w:szCs w:val="24"/>
          <w:u w:val="single"/>
        </w:rPr>
      </w:pPr>
      <w:r w:rsidRPr="000A708F">
        <w:rPr>
          <w:b/>
          <w:sz w:val="24"/>
          <w:szCs w:val="24"/>
          <w:u w:val="single"/>
        </w:rPr>
        <w:t>Powierzchnia gruntu pod dzierżawę</w:t>
      </w:r>
    </w:p>
    <w:p w:rsidR="000A708F" w:rsidRDefault="000A708F" w:rsidP="000A708F">
      <w:pPr>
        <w:ind w:left="360"/>
        <w:jc w:val="center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0A708F" w:rsidRPr="00065744" w:rsidTr="00823665">
        <w:trPr>
          <w:trHeight w:val="283"/>
        </w:trPr>
        <w:tc>
          <w:tcPr>
            <w:tcW w:w="4253" w:type="dxa"/>
          </w:tcPr>
          <w:p w:rsidR="000A708F" w:rsidRPr="000A708F" w:rsidRDefault="000A708F" w:rsidP="000A708F">
            <w:pPr>
              <w:ind w:left="360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 xml:space="preserve">Grunt pod powierzchnią pomieszczeń </w:t>
            </w:r>
            <w:proofErr w:type="spellStart"/>
            <w:r w:rsidRPr="000A708F">
              <w:rPr>
                <w:sz w:val="24"/>
                <w:szCs w:val="24"/>
              </w:rPr>
              <w:t>j.w</w:t>
            </w:r>
            <w:proofErr w:type="spellEnd"/>
            <w:r w:rsidRPr="000A708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A708F" w:rsidRPr="000A708F" w:rsidRDefault="000A708F" w:rsidP="000A708F">
            <w:pPr>
              <w:ind w:left="360"/>
              <w:jc w:val="right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313,27 m</w:t>
            </w:r>
            <w:r w:rsidRPr="000A708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065744" w:rsidTr="00823665">
        <w:trPr>
          <w:trHeight w:val="283"/>
        </w:trPr>
        <w:tc>
          <w:tcPr>
            <w:tcW w:w="4253" w:type="dxa"/>
          </w:tcPr>
          <w:p w:rsidR="000A708F" w:rsidRPr="000A708F" w:rsidRDefault="000A708F" w:rsidP="000A708F">
            <w:pPr>
              <w:ind w:left="360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Centrale wentylacyjne</w:t>
            </w:r>
          </w:p>
        </w:tc>
        <w:tc>
          <w:tcPr>
            <w:tcW w:w="2693" w:type="dxa"/>
          </w:tcPr>
          <w:p w:rsidR="000A708F" w:rsidRPr="000A708F" w:rsidRDefault="000A708F" w:rsidP="000A708F">
            <w:pPr>
              <w:ind w:left="360"/>
              <w:jc w:val="right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10,60 m</w:t>
            </w:r>
            <w:r w:rsidRPr="000A708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065744" w:rsidTr="00823665">
        <w:trPr>
          <w:trHeight w:val="283"/>
        </w:trPr>
        <w:tc>
          <w:tcPr>
            <w:tcW w:w="4253" w:type="dxa"/>
          </w:tcPr>
          <w:p w:rsidR="000A708F" w:rsidRPr="000A708F" w:rsidRDefault="000A708F" w:rsidP="000A708F">
            <w:pPr>
              <w:ind w:left="360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Magazyn chemiczny</w:t>
            </w:r>
          </w:p>
        </w:tc>
        <w:tc>
          <w:tcPr>
            <w:tcW w:w="2693" w:type="dxa"/>
          </w:tcPr>
          <w:p w:rsidR="000A708F" w:rsidRPr="000A708F" w:rsidRDefault="000A708F" w:rsidP="000A708F">
            <w:pPr>
              <w:ind w:left="360"/>
              <w:jc w:val="right"/>
              <w:rPr>
                <w:sz w:val="24"/>
                <w:szCs w:val="24"/>
              </w:rPr>
            </w:pPr>
            <w:r w:rsidRPr="000A708F">
              <w:rPr>
                <w:sz w:val="24"/>
                <w:szCs w:val="24"/>
              </w:rPr>
              <w:t>94,50 m</w:t>
            </w:r>
            <w:r w:rsidRPr="000A708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A708F" w:rsidRPr="00065744" w:rsidTr="00823665">
        <w:trPr>
          <w:trHeight w:val="283"/>
        </w:trPr>
        <w:tc>
          <w:tcPr>
            <w:tcW w:w="4253" w:type="dxa"/>
          </w:tcPr>
          <w:p w:rsidR="000A708F" w:rsidRPr="000A708F" w:rsidRDefault="000A708F" w:rsidP="000A708F">
            <w:pPr>
              <w:ind w:left="360"/>
              <w:rPr>
                <w:b/>
                <w:sz w:val="24"/>
                <w:szCs w:val="24"/>
              </w:rPr>
            </w:pPr>
            <w:r w:rsidRPr="000A708F">
              <w:rPr>
                <w:b/>
                <w:sz w:val="24"/>
                <w:szCs w:val="24"/>
              </w:rPr>
              <w:t>Powierzchnia gruntu ogółem</w:t>
            </w:r>
          </w:p>
        </w:tc>
        <w:tc>
          <w:tcPr>
            <w:tcW w:w="2693" w:type="dxa"/>
          </w:tcPr>
          <w:p w:rsidR="000A708F" w:rsidRPr="000A708F" w:rsidRDefault="000A708F" w:rsidP="000A708F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0A708F">
              <w:rPr>
                <w:b/>
                <w:sz w:val="24"/>
                <w:szCs w:val="24"/>
              </w:rPr>
              <w:t>418,37 m</w:t>
            </w:r>
            <w:r w:rsidRPr="000A708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0A708F" w:rsidRPr="00B4014D" w:rsidRDefault="000A708F" w:rsidP="000A708F">
      <w:pPr>
        <w:pStyle w:val="Akapitzlist"/>
        <w:tabs>
          <w:tab w:val="left" w:pos="284"/>
        </w:tabs>
        <w:spacing w:before="123" w:line="276" w:lineRule="auto"/>
        <w:ind w:left="0" w:right="113" w:firstLine="0"/>
        <w:rPr>
          <w:sz w:val="24"/>
          <w:szCs w:val="24"/>
        </w:rPr>
      </w:pPr>
    </w:p>
    <w:sectPr w:rsidR="000A708F" w:rsidRPr="00B4014D" w:rsidSect="00137E2C">
      <w:pgSz w:w="11910" w:h="16840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F7" w:rsidRDefault="00BB56F7" w:rsidP="00522E1A">
      <w:r>
        <w:separator/>
      </w:r>
    </w:p>
  </w:endnote>
  <w:endnote w:type="continuationSeparator" w:id="0">
    <w:p w:rsidR="00BB56F7" w:rsidRDefault="00BB56F7" w:rsidP="0052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F7" w:rsidRDefault="00BB56F7" w:rsidP="00522E1A">
      <w:r>
        <w:separator/>
      </w:r>
    </w:p>
  </w:footnote>
  <w:footnote w:type="continuationSeparator" w:id="0">
    <w:p w:rsidR="00BB56F7" w:rsidRDefault="00BB56F7" w:rsidP="0052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5D7D60"/>
    <w:multiLevelType w:val="hybridMultilevel"/>
    <w:tmpl w:val="54D5D7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4178A"/>
    <w:multiLevelType w:val="hybridMultilevel"/>
    <w:tmpl w:val="9CB67A98"/>
    <w:lvl w:ilvl="0" w:tplc="78B2A3FE">
      <w:start w:val="1"/>
      <w:numFmt w:val="decimal"/>
      <w:lvlText w:val="%1)"/>
      <w:lvlJc w:val="left"/>
      <w:pPr>
        <w:ind w:left="82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 w:tplc="D89A0D7C">
      <w:numFmt w:val="bullet"/>
      <w:lvlText w:val=""/>
      <w:lvlJc w:val="left"/>
      <w:pPr>
        <w:ind w:left="82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ACC67E">
      <w:numFmt w:val="bullet"/>
      <w:lvlText w:val="•"/>
      <w:lvlJc w:val="left"/>
      <w:pPr>
        <w:ind w:left="2100" w:hanging="348"/>
      </w:pPr>
      <w:rPr>
        <w:rFonts w:hint="default"/>
        <w:lang w:val="pl-PL" w:eastAsia="en-US" w:bidi="ar-SA"/>
      </w:rPr>
    </w:lvl>
    <w:lvl w:ilvl="3" w:tplc="60447FAC">
      <w:numFmt w:val="bullet"/>
      <w:lvlText w:val="•"/>
      <w:lvlJc w:val="left"/>
      <w:pPr>
        <w:ind w:left="3001" w:hanging="348"/>
      </w:pPr>
      <w:rPr>
        <w:rFonts w:hint="default"/>
        <w:lang w:val="pl-PL" w:eastAsia="en-US" w:bidi="ar-SA"/>
      </w:rPr>
    </w:lvl>
    <w:lvl w:ilvl="4" w:tplc="717E8E62">
      <w:numFmt w:val="bullet"/>
      <w:lvlText w:val="•"/>
      <w:lvlJc w:val="left"/>
      <w:pPr>
        <w:ind w:left="3902" w:hanging="348"/>
      </w:pPr>
      <w:rPr>
        <w:rFonts w:hint="default"/>
        <w:lang w:val="pl-PL" w:eastAsia="en-US" w:bidi="ar-SA"/>
      </w:rPr>
    </w:lvl>
    <w:lvl w:ilvl="5" w:tplc="D444B20E">
      <w:numFmt w:val="bullet"/>
      <w:lvlText w:val="•"/>
      <w:lvlJc w:val="left"/>
      <w:pPr>
        <w:ind w:left="4802" w:hanging="348"/>
      </w:pPr>
      <w:rPr>
        <w:rFonts w:hint="default"/>
        <w:lang w:val="pl-PL" w:eastAsia="en-US" w:bidi="ar-SA"/>
      </w:rPr>
    </w:lvl>
    <w:lvl w:ilvl="6" w:tplc="4FA626A8">
      <w:numFmt w:val="bullet"/>
      <w:lvlText w:val="•"/>
      <w:lvlJc w:val="left"/>
      <w:pPr>
        <w:ind w:left="5703" w:hanging="348"/>
      </w:pPr>
      <w:rPr>
        <w:rFonts w:hint="default"/>
        <w:lang w:val="pl-PL" w:eastAsia="en-US" w:bidi="ar-SA"/>
      </w:rPr>
    </w:lvl>
    <w:lvl w:ilvl="7" w:tplc="64E8B568">
      <w:numFmt w:val="bullet"/>
      <w:lvlText w:val="•"/>
      <w:lvlJc w:val="left"/>
      <w:pPr>
        <w:ind w:left="6604" w:hanging="348"/>
      </w:pPr>
      <w:rPr>
        <w:rFonts w:hint="default"/>
        <w:lang w:val="pl-PL" w:eastAsia="en-US" w:bidi="ar-SA"/>
      </w:rPr>
    </w:lvl>
    <w:lvl w:ilvl="8" w:tplc="097E6EDC">
      <w:numFmt w:val="bullet"/>
      <w:lvlText w:val="•"/>
      <w:lvlJc w:val="left"/>
      <w:pPr>
        <w:ind w:left="750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22985C61"/>
    <w:multiLevelType w:val="hybridMultilevel"/>
    <w:tmpl w:val="A076391A"/>
    <w:lvl w:ilvl="0" w:tplc="ED22EFD8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70461C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F7B232EE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2D08115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8B604B5A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1054CEEC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CCE87C0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931E4C12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B50AF176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9C22DFB"/>
    <w:multiLevelType w:val="multilevel"/>
    <w:tmpl w:val="50E4AC42"/>
    <w:lvl w:ilvl="0">
      <w:numFmt w:val="bullet"/>
      <w:lvlText w:val="•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263541"/>
        <w:spacing w:val="12"/>
        <w:w w:val="100"/>
        <w:sz w:val="19"/>
        <w:vertAlign w:val="baseline"/>
        <w:lang w:val="pl-PL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D7007"/>
    <w:multiLevelType w:val="hybridMultilevel"/>
    <w:tmpl w:val="D82A8118"/>
    <w:lvl w:ilvl="0" w:tplc="6E56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9C7ED2" w:tentative="1">
      <w:start w:val="1"/>
      <w:numFmt w:val="lowerLetter"/>
      <w:lvlText w:val="%2."/>
      <w:lvlJc w:val="left"/>
      <w:pPr>
        <w:ind w:left="1152" w:hanging="360"/>
      </w:pPr>
    </w:lvl>
    <w:lvl w:ilvl="2" w:tplc="D0EA278A" w:tentative="1">
      <w:start w:val="1"/>
      <w:numFmt w:val="lowerRoman"/>
      <w:lvlText w:val="%3."/>
      <w:lvlJc w:val="right"/>
      <w:pPr>
        <w:ind w:left="1872" w:hanging="180"/>
      </w:pPr>
    </w:lvl>
    <w:lvl w:ilvl="3" w:tplc="462802F4" w:tentative="1">
      <w:start w:val="1"/>
      <w:numFmt w:val="decimal"/>
      <w:lvlText w:val="%4."/>
      <w:lvlJc w:val="left"/>
      <w:pPr>
        <w:ind w:left="2592" w:hanging="360"/>
      </w:pPr>
    </w:lvl>
    <w:lvl w:ilvl="4" w:tplc="9998DF9A" w:tentative="1">
      <w:start w:val="1"/>
      <w:numFmt w:val="lowerLetter"/>
      <w:lvlText w:val="%5."/>
      <w:lvlJc w:val="left"/>
      <w:pPr>
        <w:ind w:left="3312" w:hanging="360"/>
      </w:pPr>
    </w:lvl>
    <w:lvl w:ilvl="5" w:tplc="DB98F81E" w:tentative="1">
      <w:start w:val="1"/>
      <w:numFmt w:val="lowerRoman"/>
      <w:lvlText w:val="%6."/>
      <w:lvlJc w:val="right"/>
      <w:pPr>
        <w:ind w:left="4032" w:hanging="180"/>
      </w:pPr>
    </w:lvl>
    <w:lvl w:ilvl="6" w:tplc="4DB22378" w:tentative="1">
      <w:start w:val="1"/>
      <w:numFmt w:val="decimal"/>
      <w:lvlText w:val="%7."/>
      <w:lvlJc w:val="left"/>
      <w:pPr>
        <w:ind w:left="4752" w:hanging="360"/>
      </w:pPr>
    </w:lvl>
    <w:lvl w:ilvl="7" w:tplc="1CCE7AE6" w:tentative="1">
      <w:start w:val="1"/>
      <w:numFmt w:val="lowerLetter"/>
      <w:lvlText w:val="%8."/>
      <w:lvlJc w:val="left"/>
      <w:pPr>
        <w:ind w:left="5472" w:hanging="360"/>
      </w:pPr>
    </w:lvl>
    <w:lvl w:ilvl="8" w:tplc="4FD63FE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1F66474"/>
    <w:multiLevelType w:val="hybridMultilevel"/>
    <w:tmpl w:val="062C45C0"/>
    <w:lvl w:ilvl="0" w:tplc="3864B858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F824D6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AB1A9766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C79890F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D294262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5D0293D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1F82472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C9A2D46E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396899DC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420A28DA"/>
    <w:multiLevelType w:val="multilevel"/>
    <w:tmpl w:val="F36AC6A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263541"/>
        <w:spacing w:val="1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406B1F"/>
    <w:multiLevelType w:val="hybridMultilevel"/>
    <w:tmpl w:val="8F9E34BA"/>
    <w:lvl w:ilvl="0" w:tplc="32844E4E">
      <w:start w:val="1"/>
      <w:numFmt w:val="decimal"/>
      <w:lvlText w:val="%1."/>
      <w:lvlJc w:val="left"/>
      <w:pPr>
        <w:ind w:left="720" w:hanging="360"/>
      </w:pPr>
    </w:lvl>
    <w:lvl w:ilvl="1" w:tplc="85B63FA2" w:tentative="1">
      <w:start w:val="1"/>
      <w:numFmt w:val="lowerLetter"/>
      <w:lvlText w:val="%2."/>
      <w:lvlJc w:val="left"/>
      <w:pPr>
        <w:ind w:left="1440" w:hanging="360"/>
      </w:pPr>
    </w:lvl>
    <w:lvl w:ilvl="2" w:tplc="8A72C9FE" w:tentative="1">
      <w:start w:val="1"/>
      <w:numFmt w:val="lowerRoman"/>
      <w:lvlText w:val="%3."/>
      <w:lvlJc w:val="right"/>
      <w:pPr>
        <w:ind w:left="2160" w:hanging="180"/>
      </w:pPr>
    </w:lvl>
    <w:lvl w:ilvl="3" w:tplc="A8E287D0" w:tentative="1">
      <w:start w:val="1"/>
      <w:numFmt w:val="decimal"/>
      <w:lvlText w:val="%4."/>
      <w:lvlJc w:val="left"/>
      <w:pPr>
        <w:ind w:left="2880" w:hanging="360"/>
      </w:pPr>
    </w:lvl>
    <w:lvl w:ilvl="4" w:tplc="B01A7D90" w:tentative="1">
      <w:start w:val="1"/>
      <w:numFmt w:val="lowerLetter"/>
      <w:lvlText w:val="%5."/>
      <w:lvlJc w:val="left"/>
      <w:pPr>
        <w:ind w:left="3600" w:hanging="360"/>
      </w:pPr>
    </w:lvl>
    <w:lvl w:ilvl="5" w:tplc="8A3494E6" w:tentative="1">
      <w:start w:val="1"/>
      <w:numFmt w:val="lowerRoman"/>
      <w:lvlText w:val="%6."/>
      <w:lvlJc w:val="right"/>
      <w:pPr>
        <w:ind w:left="4320" w:hanging="180"/>
      </w:pPr>
    </w:lvl>
    <w:lvl w:ilvl="6" w:tplc="9F2E439E" w:tentative="1">
      <w:start w:val="1"/>
      <w:numFmt w:val="decimal"/>
      <w:lvlText w:val="%7."/>
      <w:lvlJc w:val="left"/>
      <w:pPr>
        <w:ind w:left="5040" w:hanging="360"/>
      </w:pPr>
    </w:lvl>
    <w:lvl w:ilvl="7" w:tplc="53462FBA" w:tentative="1">
      <w:start w:val="1"/>
      <w:numFmt w:val="lowerLetter"/>
      <w:lvlText w:val="%8."/>
      <w:lvlJc w:val="left"/>
      <w:pPr>
        <w:ind w:left="5760" w:hanging="360"/>
      </w:pPr>
    </w:lvl>
    <w:lvl w:ilvl="8" w:tplc="5D9EE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0B01"/>
    <w:multiLevelType w:val="multilevel"/>
    <w:tmpl w:val="5F04999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strike w:val="0"/>
        <w:color w:val="263541"/>
        <w:spacing w:val="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AD213A"/>
    <w:multiLevelType w:val="hybridMultilevel"/>
    <w:tmpl w:val="E500AEC2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54530"/>
    <w:multiLevelType w:val="hybridMultilevel"/>
    <w:tmpl w:val="01D47674"/>
    <w:lvl w:ilvl="0" w:tplc="E470461C">
      <w:numFmt w:val="bullet"/>
      <w:lvlText w:val="•"/>
      <w:lvlJc w:val="left"/>
      <w:pPr>
        <w:ind w:left="918" w:hanging="26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BEAB6A">
      <w:numFmt w:val="bullet"/>
      <w:lvlText w:val="•"/>
      <w:lvlJc w:val="left"/>
      <w:pPr>
        <w:ind w:left="1758" w:hanging="267"/>
      </w:pPr>
      <w:rPr>
        <w:rFonts w:hint="default"/>
        <w:lang w:val="pl-PL" w:eastAsia="en-US" w:bidi="ar-SA"/>
      </w:rPr>
    </w:lvl>
    <w:lvl w:ilvl="2" w:tplc="962E0EF8">
      <w:numFmt w:val="bullet"/>
      <w:lvlText w:val="•"/>
      <w:lvlJc w:val="left"/>
      <w:pPr>
        <w:ind w:left="2597" w:hanging="267"/>
      </w:pPr>
      <w:rPr>
        <w:rFonts w:hint="default"/>
        <w:lang w:val="pl-PL" w:eastAsia="en-US" w:bidi="ar-SA"/>
      </w:rPr>
    </w:lvl>
    <w:lvl w:ilvl="3" w:tplc="7C0C7080">
      <w:numFmt w:val="bullet"/>
      <w:lvlText w:val="•"/>
      <w:lvlJc w:val="left"/>
      <w:pPr>
        <w:ind w:left="3435" w:hanging="267"/>
      </w:pPr>
      <w:rPr>
        <w:rFonts w:hint="default"/>
        <w:lang w:val="pl-PL" w:eastAsia="en-US" w:bidi="ar-SA"/>
      </w:rPr>
    </w:lvl>
    <w:lvl w:ilvl="4" w:tplc="623AC27C">
      <w:numFmt w:val="bullet"/>
      <w:lvlText w:val="•"/>
      <w:lvlJc w:val="left"/>
      <w:pPr>
        <w:ind w:left="4274" w:hanging="267"/>
      </w:pPr>
      <w:rPr>
        <w:rFonts w:hint="default"/>
        <w:lang w:val="pl-PL" w:eastAsia="en-US" w:bidi="ar-SA"/>
      </w:rPr>
    </w:lvl>
    <w:lvl w:ilvl="5" w:tplc="80EA22FA">
      <w:numFmt w:val="bullet"/>
      <w:lvlText w:val="•"/>
      <w:lvlJc w:val="left"/>
      <w:pPr>
        <w:ind w:left="5113" w:hanging="267"/>
      </w:pPr>
      <w:rPr>
        <w:rFonts w:hint="default"/>
        <w:lang w:val="pl-PL" w:eastAsia="en-US" w:bidi="ar-SA"/>
      </w:rPr>
    </w:lvl>
    <w:lvl w:ilvl="6" w:tplc="31A863BA">
      <w:numFmt w:val="bullet"/>
      <w:lvlText w:val="•"/>
      <w:lvlJc w:val="left"/>
      <w:pPr>
        <w:ind w:left="5951" w:hanging="267"/>
      </w:pPr>
      <w:rPr>
        <w:rFonts w:hint="default"/>
        <w:lang w:val="pl-PL" w:eastAsia="en-US" w:bidi="ar-SA"/>
      </w:rPr>
    </w:lvl>
    <w:lvl w:ilvl="7" w:tplc="5066AB40">
      <w:numFmt w:val="bullet"/>
      <w:lvlText w:val="•"/>
      <w:lvlJc w:val="left"/>
      <w:pPr>
        <w:ind w:left="6790" w:hanging="267"/>
      </w:pPr>
      <w:rPr>
        <w:rFonts w:hint="default"/>
        <w:lang w:val="pl-PL" w:eastAsia="en-US" w:bidi="ar-SA"/>
      </w:rPr>
    </w:lvl>
    <w:lvl w:ilvl="8" w:tplc="223EEB9A">
      <w:numFmt w:val="bullet"/>
      <w:lvlText w:val="•"/>
      <w:lvlJc w:val="left"/>
      <w:pPr>
        <w:ind w:left="7629" w:hanging="267"/>
      </w:pPr>
      <w:rPr>
        <w:rFonts w:hint="default"/>
        <w:lang w:val="pl-PL" w:eastAsia="en-US" w:bidi="ar-SA"/>
      </w:rPr>
    </w:lvl>
  </w:abstractNum>
  <w:abstractNum w:abstractNumId="11" w15:restartNumberingAfterBreak="0">
    <w:nsid w:val="6C80441E"/>
    <w:multiLevelType w:val="hybridMultilevel"/>
    <w:tmpl w:val="FD6A8060"/>
    <w:lvl w:ilvl="0" w:tplc="5D12E7D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1" w:tplc="D55CA1EA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230CEB0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8DBE460E">
      <w:numFmt w:val="bullet"/>
      <w:lvlText w:val="•"/>
      <w:lvlJc w:val="left"/>
      <w:pPr>
        <w:ind w:left="3927" w:hanging="360"/>
      </w:pPr>
      <w:rPr>
        <w:rFonts w:hint="default"/>
        <w:lang w:val="pl-PL" w:eastAsia="en-US" w:bidi="ar-SA"/>
      </w:rPr>
    </w:lvl>
    <w:lvl w:ilvl="4" w:tplc="F1A62CCC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5" w:tplc="17BA7AB4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BAD041F0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7" w:tplc="28383F6C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  <w:lvl w:ilvl="8" w:tplc="9A5C5EEC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4DC6273"/>
    <w:multiLevelType w:val="hybridMultilevel"/>
    <w:tmpl w:val="5C769F6C"/>
    <w:lvl w:ilvl="0" w:tplc="6F7EC654">
      <w:numFmt w:val="bullet"/>
      <w:lvlText w:val=""/>
      <w:lvlJc w:val="left"/>
      <w:pPr>
        <w:ind w:left="918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BEAB6A">
      <w:numFmt w:val="bullet"/>
      <w:lvlText w:val="•"/>
      <w:lvlJc w:val="left"/>
      <w:pPr>
        <w:ind w:left="1758" w:hanging="267"/>
      </w:pPr>
      <w:rPr>
        <w:rFonts w:hint="default"/>
        <w:lang w:val="pl-PL" w:eastAsia="en-US" w:bidi="ar-SA"/>
      </w:rPr>
    </w:lvl>
    <w:lvl w:ilvl="2" w:tplc="962E0EF8">
      <w:numFmt w:val="bullet"/>
      <w:lvlText w:val="•"/>
      <w:lvlJc w:val="left"/>
      <w:pPr>
        <w:ind w:left="2597" w:hanging="267"/>
      </w:pPr>
      <w:rPr>
        <w:rFonts w:hint="default"/>
        <w:lang w:val="pl-PL" w:eastAsia="en-US" w:bidi="ar-SA"/>
      </w:rPr>
    </w:lvl>
    <w:lvl w:ilvl="3" w:tplc="7C0C7080">
      <w:numFmt w:val="bullet"/>
      <w:lvlText w:val="•"/>
      <w:lvlJc w:val="left"/>
      <w:pPr>
        <w:ind w:left="3435" w:hanging="267"/>
      </w:pPr>
      <w:rPr>
        <w:rFonts w:hint="default"/>
        <w:lang w:val="pl-PL" w:eastAsia="en-US" w:bidi="ar-SA"/>
      </w:rPr>
    </w:lvl>
    <w:lvl w:ilvl="4" w:tplc="623AC27C">
      <w:numFmt w:val="bullet"/>
      <w:lvlText w:val="•"/>
      <w:lvlJc w:val="left"/>
      <w:pPr>
        <w:ind w:left="4274" w:hanging="267"/>
      </w:pPr>
      <w:rPr>
        <w:rFonts w:hint="default"/>
        <w:lang w:val="pl-PL" w:eastAsia="en-US" w:bidi="ar-SA"/>
      </w:rPr>
    </w:lvl>
    <w:lvl w:ilvl="5" w:tplc="80EA22FA">
      <w:numFmt w:val="bullet"/>
      <w:lvlText w:val="•"/>
      <w:lvlJc w:val="left"/>
      <w:pPr>
        <w:ind w:left="5113" w:hanging="267"/>
      </w:pPr>
      <w:rPr>
        <w:rFonts w:hint="default"/>
        <w:lang w:val="pl-PL" w:eastAsia="en-US" w:bidi="ar-SA"/>
      </w:rPr>
    </w:lvl>
    <w:lvl w:ilvl="6" w:tplc="31A863BA">
      <w:numFmt w:val="bullet"/>
      <w:lvlText w:val="•"/>
      <w:lvlJc w:val="left"/>
      <w:pPr>
        <w:ind w:left="5951" w:hanging="267"/>
      </w:pPr>
      <w:rPr>
        <w:rFonts w:hint="default"/>
        <w:lang w:val="pl-PL" w:eastAsia="en-US" w:bidi="ar-SA"/>
      </w:rPr>
    </w:lvl>
    <w:lvl w:ilvl="7" w:tplc="5066AB40">
      <w:numFmt w:val="bullet"/>
      <w:lvlText w:val="•"/>
      <w:lvlJc w:val="left"/>
      <w:pPr>
        <w:ind w:left="6790" w:hanging="267"/>
      </w:pPr>
      <w:rPr>
        <w:rFonts w:hint="default"/>
        <w:lang w:val="pl-PL" w:eastAsia="en-US" w:bidi="ar-SA"/>
      </w:rPr>
    </w:lvl>
    <w:lvl w:ilvl="8" w:tplc="223EEB9A">
      <w:numFmt w:val="bullet"/>
      <w:lvlText w:val="•"/>
      <w:lvlJc w:val="left"/>
      <w:pPr>
        <w:ind w:left="7629" w:hanging="267"/>
      </w:pPr>
      <w:rPr>
        <w:rFonts w:hint="default"/>
        <w:lang w:val="pl-PL" w:eastAsia="en-US" w:bidi="ar-SA"/>
      </w:rPr>
    </w:lvl>
  </w:abstractNum>
  <w:abstractNum w:abstractNumId="13" w15:restartNumberingAfterBreak="0">
    <w:nsid w:val="7DB015F6"/>
    <w:multiLevelType w:val="hybridMultilevel"/>
    <w:tmpl w:val="68C82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BD"/>
    <w:rsid w:val="00001FF6"/>
    <w:rsid w:val="00072100"/>
    <w:rsid w:val="00076908"/>
    <w:rsid w:val="000A708F"/>
    <w:rsid w:val="000D0E5F"/>
    <w:rsid w:val="000E4272"/>
    <w:rsid w:val="00137E2C"/>
    <w:rsid w:val="001F3418"/>
    <w:rsid w:val="00226CBA"/>
    <w:rsid w:val="00236ABC"/>
    <w:rsid w:val="003114D0"/>
    <w:rsid w:val="00311943"/>
    <w:rsid w:val="00396AAB"/>
    <w:rsid w:val="00405B1B"/>
    <w:rsid w:val="004556CE"/>
    <w:rsid w:val="00455AC9"/>
    <w:rsid w:val="004C39BD"/>
    <w:rsid w:val="00522E1A"/>
    <w:rsid w:val="005D0547"/>
    <w:rsid w:val="00655CF0"/>
    <w:rsid w:val="00687E9C"/>
    <w:rsid w:val="00710081"/>
    <w:rsid w:val="008519F7"/>
    <w:rsid w:val="00887DC0"/>
    <w:rsid w:val="008F2E29"/>
    <w:rsid w:val="009150F7"/>
    <w:rsid w:val="0095320C"/>
    <w:rsid w:val="009A5537"/>
    <w:rsid w:val="00A06693"/>
    <w:rsid w:val="00B4014D"/>
    <w:rsid w:val="00BB56F7"/>
    <w:rsid w:val="00BD781D"/>
    <w:rsid w:val="00BE3DB3"/>
    <w:rsid w:val="00D21C5E"/>
    <w:rsid w:val="00E334A8"/>
    <w:rsid w:val="00E61288"/>
    <w:rsid w:val="00F01D27"/>
    <w:rsid w:val="00F27557"/>
    <w:rsid w:val="00F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ED3"/>
  <w15:docId w15:val="{6B3401EB-197E-420B-944B-03D0CD3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56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0"/>
      <w:ind w:left="127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basedOn w:val="Domylnaczcionkaakapitu"/>
    <w:link w:val="Akapitzlist"/>
    <w:uiPriority w:val="34"/>
    <w:rsid w:val="00F01D27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D21C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721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10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54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5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5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547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2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E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E1A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0A708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Konopacki Maciej</dc:creator>
  <cp:lastModifiedBy>Edyta</cp:lastModifiedBy>
  <cp:revision>15</cp:revision>
  <cp:lastPrinted>2024-04-16T11:12:00Z</cp:lastPrinted>
  <dcterms:created xsi:type="dcterms:W3CDTF">2024-04-12T10:21:00Z</dcterms:created>
  <dcterms:modified xsi:type="dcterms:W3CDTF">2024-04-17T07:40:00Z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2024-04-08T00:00:00Z</vt:filetime>
  </property>
</Properties>
</file>